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15D37" w14:textId="77777777" w:rsidR="00BA6FF9" w:rsidRPr="00995A39" w:rsidRDefault="00BA6FF9" w:rsidP="00BA6FF9">
      <w:pPr>
        <w:ind w:left="2160" w:hanging="2160"/>
        <w:jc w:val="center"/>
        <w:rPr>
          <w:rFonts w:ascii="Arial" w:hAnsi="Arial"/>
          <w:b/>
        </w:rPr>
      </w:pPr>
      <w:r w:rsidRPr="00995A39">
        <w:rPr>
          <w:rFonts w:ascii="Arial" w:hAnsi="Arial"/>
          <w:b/>
        </w:rPr>
        <w:t>STAFF REPORT</w:t>
      </w:r>
    </w:p>
    <w:p w14:paraId="10E1C1CD" w14:textId="77777777" w:rsidR="00BA6FF9" w:rsidRPr="00995A39" w:rsidRDefault="00BA6FF9" w:rsidP="00BA6FF9">
      <w:pPr>
        <w:ind w:left="2160" w:hanging="2160"/>
        <w:rPr>
          <w:rFonts w:ascii="Arial" w:hAnsi="Arial"/>
        </w:rPr>
      </w:pPr>
    </w:p>
    <w:p w14:paraId="3FD49F81" w14:textId="77777777" w:rsidR="00BA6FF9" w:rsidRPr="00995A39" w:rsidRDefault="00BA6FF9" w:rsidP="00396754">
      <w:pPr>
        <w:ind w:left="1440" w:hanging="1440"/>
        <w:rPr>
          <w:rFonts w:ascii="Arial" w:hAnsi="Arial"/>
        </w:rPr>
      </w:pPr>
      <w:r w:rsidRPr="00995A39">
        <w:rPr>
          <w:rFonts w:ascii="Arial" w:hAnsi="Arial"/>
        </w:rPr>
        <w:t>MEETING DATE:</w:t>
      </w:r>
      <w:r w:rsidRPr="00995A39">
        <w:rPr>
          <w:rFonts w:ascii="Arial" w:hAnsi="Arial"/>
        </w:rPr>
        <w:tab/>
      </w:r>
      <w:r w:rsidR="00FF6842">
        <w:rPr>
          <w:rFonts w:ascii="Arial" w:hAnsi="Arial"/>
        </w:rPr>
        <w:t>May</w:t>
      </w:r>
      <w:r w:rsidR="00032156">
        <w:rPr>
          <w:rFonts w:ascii="Arial" w:hAnsi="Arial"/>
        </w:rPr>
        <w:t xml:space="preserve"> </w:t>
      </w:r>
      <w:r w:rsidR="00FF6842">
        <w:rPr>
          <w:rFonts w:ascii="Arial" w:hAnsi="Arial"/>
        </w:rPr>
        <w:t>21</w:t>
      </w:r>
      <w:r w:rsidR="005A621A" w:rsidRPr="00995A39">
        <w:rPr>
          <w:rFonts w:ascii="Arial" w:hAnsi="Arial"/>
        </w:rPr>
        <w:t>,</w:t>
      </w:r>
      <w:r w:rsidR="00396754" w:rsidRPr="00995A39">
        <w:rPr>
          <w:rFonts w:ascii="Arial" w:hAnsi="Arial"/>
        </w:rPr>
        <w:t xml:space="preserve"> 202</w:t>
      </w:r>
      <w:r w:rsidR="00FF6842">
        <w:rPr>
          <w:rFonts w:ascii="Arial" w:hAnsi="Arial"/>
        </w:rPr>
        <w:t>4</w:t>
      </w:r>
    </w:p>
    <w:p w14:paraId="5AF7DD05" w14:textId="77777777" w:rsidR="00BA6FF9" w:rsidRPr="00995A39" w:rsidRDefault="00BA6FF9" w:rsidP="00BA6FF9">
      <w:pPr>
        <w:ind w:left="2160" w:hanging="2160"/>
        <w:rPr>
          <w:rFonts w:ascii="Arial" w:hAnsi="Arial"/>
        </w:rPr>
      </w:pPr>
    </w:p>
    <w:p w14:paraId="71E6FBC1" w14:textId="77777777" w:rsidR="00BA6FF9" w:rsidRPr="00995A39" w:rsidRDefault="00396754" w:rsidP="00396754">
      <w:pPr>
        <w:ind w:left="2160" w:hanging="1440"/>
        <w:rPr>
          <w:rFonts w:ascii="Arial" w:hAnsi="Arial"/>
        </w:rPr>
      </w:pPr>
      <w:r w:rsidRPr="00995A39">
        <w:rPr>
          <w:rFonts w:ascii="Arial" w:hAnsi="Arial"/>
        </w:rPr>
        <w:t xml:space="preserve">          </w:t>
      </w:r>
      <w:r w:rsidR="00BA6FF9" w:rsidRPr="00995A39">
        <w:rPr>
          <w:rFonts w:ascii="Arial" w:hAnsi="Arial"/>
        </w:rPr>
        <w:t>TO:</w:t>
      </w:r>
      <w:r w:rsidR="00BA6FF9" w:rsidRPr="00995A39">
        <w:rPr>
          <w:rFonts w:ascii="Arial" w:hAnsi="Arial"/>
        </w:rPr>
        <w:tab/>
        <w:t>Siskiyou County Board of Supervisors</w:t>
      </w:r>
    </w:p>
    <w:p w14:paraId="45550D61" w14:textId="77777777" w:rsidR="00BA6FF9" w:rsidRPr="00995A39" w:rsidRDefault="00396754" w:rsidP="00BA6FF9">
      <w:pPr>
        <w:ind w:left="2160" w:hanging="2160"/>
        <w:rPr>
          <w:rFonts w:ascii="Arial" w:hAnsi="Arial"/>
        </w:rPr>
      </w:pPr>
      <w:r w:rsidRPr="00995A39">
        <w:rPr>
          <w:rFonts w:ascii="Arial" w:hAnsi="Arial"/>
        </w:rPr>
        <w:tab/>
      </w:r>
    </w:p>
    <w:p w14:paraId="6AEF1C3A" w14:textId="77777777" w:rsidR="00995A39" w:rsidRPr="00995A39" w:rsidRDefault="00396754" w:rsidP="00396754">
      <w:pPr>
        <w:ind w:firstLine="720"/>
        <w:rPr>
          <w:rFonts w:ascii="Arial" w:hAnsi="Arial"/>
        </w:rPr>
      </w:pPr>
      <w:r w:rsidRPr="00995A39">
        <w:rPr>
          <w:rFonts w:ascii="Arial" w:hAnsi="Arial"/>
        </w:rPr>
        <w:t xml:space="preserve">     </w:t>
      </w:r>
      <w:r w:rsidR="00BA6FF9" w:rsidRPr="00995A39">
        <w:rPr>
          <w:rFonts w:ascii="Arial" w:hAnsi="Arial"/>
        </w:rPr>
        <w:t>FROM:</w:t>
      </w:r>
      <w:r w:rsidR="00BA6FF9" w:rsidRPr="00995A39">
        <w:rPr>
          <w:rFonts w:ascii="Arial" w:hAnsi="Arial"/>
        </w:rPr>
        <w:tab/>
      </w:r>
      <w:r w:rsidRPr="00995A39">
        <w:rPr>
          <w:rFonts w:ascii="Arial" w:hAnsi="Arial"/>
        </w:rPr>
        <w:t>Rick Dean, Community Development Director</w:t>
      </w:r>
    </w:p>
    <w:p w14:paraId="721ABCAD" w14:textId="77777777" w:rsidR="00BA6FF9" w:rsidRPr="00995A39" w:rsidRDefault="00995A39" w:rsidP="000C3DDB">
      <w:pPr>
        <w:ind w:firstLine="720"/>
        <w:rPr>
          <w:rFonts w:ascii="Arial" w:hAnsi="Arial"/>
        </w:rPr>
      </w:pPr>
      <w:r w:rsidRPr="00995A39">
        <w:rPr>
          <w:rFonts w:ascii="Arial" w:hAnsi="Arial"/>
        </w:rPr>
        <w:tab/>
      </w:r>
      <w:r w:rsidRPr="00995A39">
        <w:rPr>
          <w:rFonts w:ascii="Arial" w:hAnsi="Arial"/>
        </w:rPr>
        <w:tab/>
      </w:r>
    </w:p>
    <w:p w14:paraId="06C5305D" w14:textId="77777777" w:rsidR="00BA6FF9" w:rsidRPr="00995A39" w:rsidRDefault="00BA6FF9" w:rsidP="00BA6FF9">
      <w:pPr>
        <w:ind w:left="2160" w:hanging="2160"/>
        <w:rPr>
          <w:rFonts w:ascii="Arial" w:hAnsi="Arial"/>
        </w:rPr>
      </w:pPr>
    </w:p>
    <w:p w14:paraId="55DD0878" w14:textId="77777777" w:rsidR="002532EB" w:rsidRPr="00995A39" w:rsidRDefault="00BA6FF9" w:rsidP="00396754">
      <w:pPr>
        <w:ind w:left="2160" w:hanging="1440"/>
        <w:jc w:val="both"/>
        <w:rPr>
          <w:rFonts w:ascii="Arial" w:hAnsi="Arial"/>
        </w:rPr>
      </w:pPr>
      <w:r w:rsidRPr="00995A39">
        <w:rPr>
          <w:rFonts w:ascii="Arial" w:hAnsi="Arial"/>
        </w:rPr>
        <w:t>SUBJECT:</w:t>
      </w:r>
      <w:r w:rsidRPr="00995A39">
        <w:rPr>
          <w:rFonts w:ascii="Arial" w:hAnsi="Arial"/>
        </w:rPr>
        <w:tab/>
      </w:r>
      <w:r w:rsidR="002532EB" w:rsidRPr="00995A39">
        <w:rPr>
          <w:rFonts w:ascii="Arial" w:hAnsi="Arial"/>
        </w:rPr>
        <w:t>Governor Newsom’s Executive Order (N-7-22</w:t>
      </w:r>
      <w:r w:rsidR="004B1F2F">
        <w:rPr>
          <w:rFonts w:ascii="Arial" w:hAnsi="Arial"/>
        </w:rPr>
        <w:t>/N-3-23</w:t>
      </w:r>
      <w:r w:rsidR="002532EB" w:rsidRPr="00995A39">
        <w:rPr>
          <w:rFonts w:ascii="Arial" w:hAnsi="Arial"/>
        </w:rPr>
        <w:t xml:space="preserve">) and </w:t>
      </w:r>
    </w:p>
    <w:p w14:paraId="1B9AD5A3" w14:textId="77777777" w:rsidR="00BA6FF9" w:rsidRPr="00995A39" w:rsidRDefault="00995A39" w:rsidP="00396754">
      <w:pPr>
        <w:ind w:left="2160" w:hanging="1440"/>
        <w:jc w:val="both"/>
        <w:rPr>
          <w:rFonts w:ascii="Arial" w:hAnsi="Arial"/>
        </w:rPr>
      </w:pPr>
      <w:r>
        <w:rPr>
          <w:rFonts w:ascii="Arial" w:hAnsi="Arial"/>
        </w:rPr>
        <w:t xml:space="preserve">                      </w:t>
      </w:r>
      <w:r w:rsidR="002532EB" w:rsidRPr="00995A39">
        <w:rPr>
          <w:rFonts w:ascii="Arial" w:hAnsi="Arial"/>
        </w:rPr>
        <w:t xml:space="preserve">the County’s </w:t>
      </w:r>
      <w:r w:rsidR="00396754" w:rsidRPr="00995A39">
        <w:rPr>
          <w:rFonts w:ascii="Arial" w:hAnsi="Arial"/>
        </w:rPr>
        <w:t xml:space="preserve">Groundwater Well </w:t>
      </w:r>
      <w:r w:rsidR="0000499A" w:rsidRPr="00995A39">
        <w:rPr>
          <w:rFonts w:ascii="Arial" w:hAnsi="Arial"/>
        </w:rPr>
        <w:t>Application Process</w:t>
      </w:r>
    </w:p>
    <w:p w14:paraId="1E02933A" w14:textId="77777777" w:rsidR="00BA6FF9" w:rsidRPr="00995A39" w:rsidRDefault="00BA6FF9" w:rsidP="00BA6FF9">
      <w:pPr>
        <w:tabs>
          <w:tab w:val="left" w:pos="1620"/>
        </w:tabs>
        <w:rPr>
          <w:rFonts w:ascii="Arial" w:hAnsi="Arial"/>
        </w:rPr>
      </w:pPr>
      <w:r w:rsidRPr="00995A39">
        <w:rPr>
          <w:rFonts w:ascii="Arial" w:hAnsi="Arial"/>
        </w:rPr>
        <w:pict w14:anchorId="2FEC374F">
          <v:rect id="_x0000_i1025" style="width:511.2pt;height:1.5pt" o:hralign="center" o:hrstd="t" o:hrnoshade="t" o:hr="t" fillcolor="black" stroked="f"/>
        </w:pict>
      </w:r>
    </w:p>
    <w:p w14:paraId="63D6D6B5" w14:textId="77777777" w:rsidR="00BA6FF9" w:rsidRPr="00995A39" w:rsidRDefault="00BA6FF9" w:rsidP="00BA6FF9">
      <w:pPr>
        <w:autoSpaceDE w:val="0"/>
        <w:autoSpaceDN w:val="0"/>
        <w:adjustRightInd w:val="0"/>
        <w:rPr>
          <w:rFonts w:ascii="Arial" w:hAnsi="Arial"/>
          <w:b/>
        </w:rPr>
      </w:pPr>
    </w:p>
    <w:p w14:paraId="43F7D843" w14:textId="77777777" w:rsidR="001A3C35" w:rsidRPr="00995A39" w:rsidRDefault="001A3C35" w:rsidP="00BA6FF9">
      <w:pPr>
        <w:numPr>
          <w:ilvl w:val="0"/>
          <w:numId w:val="8"/>
        </w:numPr>
        <w:autoSpaceDE w:val="0"/>
        <w:autoSpaceDN w:val="0"/>
        <w:adjustRightInd w:val="0"/>
        <w:rPr>
          <w:rFonts w:ascii="Arial" w:hAnsi="Arial"/>
          <w:b/>
        </w:rPr>
      </w:pPr>
      <w:r w:rsidRPr="00995A39">
        <w:rPr>
          <w:rFonts w:ascii="Arial" w:hAnsi="Arial"/>
          <w:b/>
        </w:rPr>
        <w:t>INTRODUCTION</w:t>
      </w:r>
    </w:p>
    <w:p w14:paraId="16305B82" w14:textId="77777777" w:rsidR="006E435C" w:rsidRPr="00995A39" w:rsidRDefault="006E435C" w:rsidP="00396754">
      <w:pPr>
        <w:autoSpaceDE w:val="0"/>
        <w:autoSpaceDN w:val="0"/>
        <w:adjustRightInd w:val="0"/>
        <w:rPr>
          <w:rFonts w:ascii="Arial" w:hAnsi="Arial"/>
        </w:rPr>
      </w:pPr>
    </w:p>
    <w:p w14:paraId="5833438C" w14:textId="77777777" w:rsidR="001B30FC" w:rsidRDefault="001B30FC" w:rsidP="001B30FC">
      <w:pPr>
        <w:ind w:left="345" w:right="438"/>
        <w:rPr>
          <w:rFonts w:ascii="Arial" w:eastAsia="Arial" w:hAnsi="Arial" w:cs="Arial"/>
          <w:color w:val="000000"/>
          <w:szCs w:val="22"/>
        </w:rPr>
      </w:pPr>
      <w:r>
        <w:rPr>
          <w:rFonts w:ascii="Arial" w:hAnsi="Arial"/>
        </w:rPr>
        <w:t>On March 28,</w:t>
      </w:r>
      <w:r w:rsidR="004B1F2F">
        <w:rPr>
          <w:rFonts w:ascii="Arial" w:hAnsi="Arial"/>
        </w:rPr>
        <w:t xml:space="preserve"> </w:t>
      </w:r>
      <w:r>
        <w:rPr>
          <w:rFonts w:ascii="Arial" w:hAnsi="Arial"/>
        </w:rPr>
        <w:t>2022</w:t>
      </w:r>
      <w:r w:rsidR="006E435C" w:rsidRPr="00995A39">
        <w:rPr>
          <w:rFonts w:ascii="Arial" w:hAnsi="Arial"/>
        </w:rPr>
        <w:t xml:space="preserve">, Governor </w:t>
      </w:r>
      <w:r w:rsidR="00225EB9" w:rsidRPr="00995A39">
        <w:rPr>
          <w:rFonts w:ascii="Arial" w:hAnsi="Arial"/>
        </w:rPr>
        <w:t xml:space="preserve">Gavin </w:t>
      </w:r>
      <w:r w:rsidR="006E435C" w:rsidRPr="00995A39">
        <w:rPr>
          <w:rFonts w:ascii="Arial" w:hAnsi="Arial"/>
        </w:rPr>
        <w:t>New</w:t>
      </w:r>
      <w:r w:rsidR="00396754" w:rsidRPr="00995A39">
        <w:rPr>
          <w:rFonts w:ascii="Arial" w:hAnsi="Arial"/>
        </w:rPr>
        <w:t xml:space="preserve">som issued Executive Order </w:t>
      </w:r>
      <w:r w:rsidR="004F5E6A" w:rsidRPr="00995A39">
        <w:rPr>
          <w:rFonts w:ascii="Arial" w:hAnsi="Arial"/>
        </w:rPr>
        <w:t>N-7-22</w:t>
      </w:r>
      <w:r w:rsidR="00396754" w:rsidRPr="00995A39">
        <w:rPr>
          <w:rFonts w:ascii="Arial" w:hAnsi="Arial"/>
        </w:rPr>
        <w:t xml:space="preserve"> to address</w:t>
      </w:r>
      <w:r w:rsidR="006E435C" w:rsidRPr="00995A39">
        <w:rPr>
          <w:rFonts w:ascii="Arial" w:hAnsi="Arial"/>
        </w:rPr>
        <w:t xml:space="preserve"> the state’s</w:t>
      </w:r>
      <w:r w:rsidR="00396754" w:rsidRPr="00995A39">
        <w:rPr>
          <w:rFonts w:ascii="Arial" w:hAnsi="Arial"/>
        </w:rPr>
        <w:t xml:space="preserve"> </w:t>
      </w:r>
      <w:r w:rsidR="004F5E6A" w:rsidRPr="00995A39">
        <w:rPr>
          <w:rFonts w:ascii="Arial" w:hAnsi="Arial"/>
        </w:rPr>
        <w:t xml:space="preserve">ongoing </w:t>
      </w:r>
      <w:r w:rsidR="00396754" w:rsidRPr="00995A39">
        <w:rPr>
          <w:rFonts w:ascii="Arial" w:hAnsi="Arial"/>
        </w:rPr>
        <w:t>drought conditions</w:t>
      </w:r>
      <w:r w:rsidR="006E435C" w:rsidRPr="00995A39">
        <w:rPr>
          <w:rFonts w:ascii="Arial" w:hAnsi="Arial"/>
        </w:rPr>
        <w:t xml:space="preserve">. </w:t>
      </w:r>
      <w:r w:rsidRPr="001B30FC">
        <w:rPr>
          <w:rFonts w:ascii="Arial" w:eastAsia="Arial" w:hAnsi="Arial" w:cs="Arial"/>
          <w:color w:val="000000"/>
          <w:szCs w:val="22"/>
        </w:rPr>
        <w:t>On February 13, 2023, Governor Newsom signed Executive Order N-3-23, which revised Paragraph 9 of Executive Order N-7-22 to read as follows:</w:t>
      </w:r>
      <w:r w:rsidR="001A2CA2">
        <w:rPr>
          <w:rFonts w:ascii="Arial" w:eastAsia="Arial" w:hAnsi="Arial" w:cs="Arial"/>
          <w:color w:val="000000"/>
          <w:szCs w:val="22"/>
        </w:rPr>
        <w:t xml:space="preserve"> Note: (that 9(b)(iii) highlighted below was added to the language.)</w:t>
      </w:r>
    </w:p>
    <w:p w14:paraId="41B329FA" w14:textId="77777777" w:rsidR="001A2CA2" w:rsidRPr="001B30FC" w:rsidRDefault="001A2CA2" w:rsidP="001B30FC">
      <w:pPr>
        <w:ind w:left="345" w:right="438"/>
        <w:rPr>
          <w:rFonts w:ascii="Arial" w:eastAsia="Arial" w:hAnsi="Arial" w:cs="Arial"/>
          <w:color w:val="000000"/>
          <w:szCs w:val="22"/>
        </w:rPr>
      </w:pPr>
    </w:p>
    <w:p w14:paraId="115E26AD" w14:textId="77777777" w:rsidR="001B30FC" w:rsidRPr="001B30FC" w:rsidRDefault="001B30FC" w:rsidP="001B30FC">
      <w:pPr>
        <w:spacing w:after="153" w:line="268" w:lineRule="auto"/>
        <w:ind w:left="345" w:right="438"/>
        <w:rPr>
          <w:rFonts w:ascii="Arial" w:eastAsia="Arial" w:hAnsi="Arial" w:cs="Arial"/>
          <w:i/>
          <w:iCs/>
          <w:color w:val="000000"/>
          <w:szCs w:val="22"/>
        </w:rPr>
      </w:pPr>
      <w:r w:rsidRPr="001B30FC">
        <w:rPr>
          <w:rFonts w:ascii="Arial" w:eastAsia="Arial" w:hAnsi="Arial" w:cs="Arial"/>
          <w:i/>
          <w:iCs/>
          <w:color w:val="000000"/>
          <w:szCs w:val="22"/>
        </w:rPr>
        <w:t xml:space="preserve"> To protect health, safety, and the environment during this drought emergency, a county, city, or other public agency shall not: </w:t>
      </w:r>
    </w:p>
    <w:p w14:paraId="63FE7FEE" w14:textId="77777777" w:rsidR="001B30FC" w:rsidRPr="001B30FC" w:rsidRDefault="001B30FC" w:rsidP="001B30FC">
      <w:pPr>
        <w:spacing w:after="153" w:line="268" w:lineRule="auto"/>
        <w:ind w:left="345" w:right="438"/>
        <w:rPr>
          <w:rFonts w:ascii="Arial" w:eastAsia="Arial" w:hAnsi="Arial" w:cs="Arial"/>
          <w:i/>
          <w:iCs/>
          <w:color w:val="000000"/>
          <w:szCs w:val="22"/>
        </w:rPr>
      </w:pPr>
      <w:r w:rsidRPr="001B30FC">
        <w:rPr>
          <w:rFonts w:ascii="Arial" w:eastAsia="Arial" w:hAnsi="Arial" w:cs="Arial"/>
          <w:i/>
          <w:iCs/>
          <w:color w:val="000000"/>
          <w:szCs w:val="22"/>
        </w:rPr>
        <w:t xml:space="preserve">a. Approve a permit for a new groundwater well or for alteration of an existing well in a basin subject to the Sustainable Groundwater Management Act and classified as medium- or high-priority without first obtaining written verification from a Groundwater Sustainability Agency managing the basin or area of the basin where the well is proposed to be located that groundwater extraction by the proposed well would not be inconsistent with any sustainable groundwater management program established in any applicable Groundwater Sustainability Plan adopted by that Groundwater Sustainability Agency and would not decrease the likelihood of achieving a sustainability goal for the basin covered by such a plan; or </w:t>
      </w:r>
    </w:p>
    <w:p w14:paraId="357EB96F" w14:textId="77777777" w:rsidR="001B30FC" w:rsidRPr="001B30FC" w:rsidRDefault="001B30FC" w:rsidP="001B30FC">
      <w:pPr>
        <w:spacing w:after="153" w:line="268" w:lineRule="auto"/>
        <w:ind w:left="345" w:right="438"/>
        <w:rPr>
          <w:rFonts w:ascii="Arial" w:eastAsia="Arial" w:hAnsi="Arial" w:cs="Arial"/>
          <w:i/>
          <w:iCs/>
          <w:color w:val="000000"/>
          <w:szCs w:val="22"/>
        </w:rPr>
      </w:pPr>
      <w:r w:rsidRPr="001B30FC">
        <w:rPr>
          <w:rFonts w:ascii="Arial" w:eastAsia="Arial" w:hAnsi="Arial" w:cs="Arial"/>
          <w:i/>
          <w:iCs/>
          <w:color w:val="000000"/>
          <w:szCs w:val="22"/>
        </w:rPr>
        <w:t xml:space="preserve">b. Issue a permit for a new groundwater well or for alteration of an existing well without first determining that extraction of groundwater from the proposed well is (1) not likely to interfere with the production and functioning of existing nearby wells, and (2) not likely to cause subsidence that would adversely impact or damage nearby infrastructure. </w:t>
      </w:r>
    </w:p>
    <w:p w14:paraId="599CA759" w14:textId="77777777" w:rsidR="001B30FC" w:rsidRPr="001B30FC" w:rsidRDefault="001B30FC" w:rsidP="001B30FC">
      <w:pPr>
        <w:spacing w:after="153" w:line="268" w:lineRule="auto"/>
        <w:ind w:left="345" w:right="438"/>
        <w:rPr>
          <w:rFonts w:ascii="Arial" w:eastAsia="Arial" w:hAnsi="Arial" w:cs="Arial"/>
          <w:i/>
          <w:iCs/>
          <w:color w:val="000000"/>
          <w:szCs w:val="22"/>
        </w:rPr>
      </w:pPr>
      <w:r w:rsidRPr="001B30FC">
        <w:rPr>
          <w:rFonts w:ascii="Arial" w:eastAsia="Arial" w:hAnsi="Arial" w:cs="Arial"/>
          <w:i/>
          <w:iCs/>
          <w:color w:val="000000"/>
          <w:szCs w:val="22"/>
        </w:rPr>
        <w:t>This Paragraph shall not apply to permits for wells (</w:t>
      </w:r>
      <w:proofErr w:type="spellStart"/>
      <w:r w:rsidRPr="001B30FC">
        <w:rPr>
          <w:rFonts w:ascii="Arial" w:eastAsia="Arial" w:hAnsi="Arial" w:cs="Arial"/>
          <w:i/>
          <w:iCs/>
          <w:color w:val="000000"/>
          <w:szCs w:val="22"/>
        </w:rPr>
        <w:t>i</w:t>
      </w:r>
      <w:proofErr w:type="spellEnd"/>
      <w:r w:rsidRPr="001B30FC">
        <w:rPr>
          <w:rFonts w:ascii="Arial" w:eastAsia="Arial" w:hAnsi="Arial" w:cs="Arial"/>
          <w:i/>
          <w:iCs/>
          <w:color w:val="000000"/>
          <w:szCs w:val="22"/>
        </w:rPr>
        <w:t xml:space="preserve">) that will provide less than two acre-feet per year of groundwater for individual domestic users, (ii) that will exclusively provide groundwater to public water supply systems as defined in section 116275 of the Health and Safety Code, or </w:t>
      </w:r>
      <w:r w:rsidR="00DB1453">
        <w:rPr>
          <w:rFonts w:ascii="Arial" w:eastAsia="Arial" w:hAnsi="Arial" w:cs="Arial"/>
          <w:i/>
          <w:iCs/>
          <w:color w:val="000000"/>
          <w:szCs w:val="22"/>
        </w:rPr>
        <w:t xml:space="preserve"> </w:t>
      </w:r>
      <w:r w:rsidRPr="002D629E">
        <w:rPr>
          <w:rFonts w:ascii="Arial" w:eastAsia="Arial" w:hAnsi="Arial" w:cs="Arial"/>
          <w:i/>
          <w:iCs/>
          <w:color w:val="000000"/>
          <w:szCs w:val="22"/>
        </w:rPr>
        <w:t xml:space="preserve">(iii) that are replacing </w:t>
      </w:r>
      <w:r w:rsidRPr="002D629E">
        <w:rPr>
          <w:rFonts w:ascii="Arial" w:eastAsia="Arial" w:hAnsi="Arial" w:cs="Arial"/>
          <w:i/>
          <w:iCs/>
          <w:color w:val="000000"/>
          <w:szCs w:val="22"/>
        </w:rPr>
        <w:lastRenderedPageBreak/>
        <w:t>existing, currently permitted wells with new wells that will produce an equivalent quantity of water as the well being replaced when the existing well is being replaced because it has been acquired by eminent domain or acquired while under threat of condemnation.</w:t>
      </w:r>
    </w:p>
    <w:p w14:paraId="69CCDADE" w14:textId="77777777" w:rsidR="00396754" w:rsidRPr="00995A39" w:rsidRDefault="00396754" w:rsidP="00396754">
      <w:pPr>
        <w:autoSpaceDE w:val="0"/>
        <w:autoSpaceDN w:val="0"/>
        <w:adjustRightInd w:val="0"/>
        <w:rPr>
          <w:rFonts w:ascii="Arial" w:hAnsi="Arial"/>
        </w:rPr>
      </w:pPr>
    </w:p>
    <w:p w14:paraId="72F5792C" w14:textId="69C63002" w:rsidR="00E16826" w:rsidRPr="00995A39" w:rsidRDefault="0098303A" w:rsidP="00396754">
      <w:pPr>
        <w:autoSpaceDE w:val="0"/>
        <w:autoSpaceDN w:val="0"/>
        <w:adjustRightInd w:val="0"/>
        <w:rPr>
          <w:rFonts w:ascii="Arial" w:hAnsi="Arial"/>
        </w:rPr>
      </w:pPr>
      <w:r w:rsidRPr="00995A39">
        <w:rPr>
          <w:rFonts w:ascii="Arial" w:hAnsi="Arial"/>
        </w:rPr>
        <w:t>Executive Order</w:t>
      </w:r>
      <w:r w:rsidR="00032156">
        <w:rPr>
          <w:rFonts w:ascii="Arial" w:hAnsi="Arial"/>
        </w:rPr>
        <w:t>s</w:t>
      </w:r>
      <w:r w:rsidRPr="00995A39">
        <w:rPr>
          <w:rFonts w:ascii="Arial" w:hAnsi="Arial"/>
        </w:rPr>
        <w:t xml:space="preserve"> N-7-22</w:t>
      </w:r>
      <w:r w:rsidR="00032156">
        <w:rPr>
          <w:rFonts w:ascii="Arial" w:hAnsi="Arial"/>
        </w:rPr>
        <w:t xml:space="preserve">, and its amendment under Executive Order </w:t>
      </w:r>
      <w:r w:rsidR="00391E99">
        <w:rPr>
          <w:rFonts w:ascii="Arial" w:hAnsi="Arial"/>
        </w:rPr>
        <w:t>N-3-23</w:t>
      </w:r>
      <w:r w:rsidR="00032156">
        <w:rPr>
          <w:rFonts w:ascii="Arial" w:hAnsi="Arial"/>
        </w:rPr>
        <w:t>,</w:t>
      </w:r>
      <w:r w:rsidRPr="00995A39">
        <w:rPr>
          <w:rFonts w:ascii="Arial" w:hAnsi="Arial"/>
        </w:rPr>
        <w:t xml:space="preserve"> took immediate </w:t>
      </w:r>
      <w:r w:rsidR="00976B39" w:rsidRPr="00995A39">
        <w:rPr>
          <w:rFonts w:ascii="Arial" w:hAnsi="Arial"/>
        </w:rPr>
        <w:t>effect,</w:t>
      </w:r>
      <w:r w:rsidRPr="00995A39">
        <w:rPr>
          <w:rFonts w:ascii="Arial" w:hAnsi="Arial"/>
        </w:rPr>
        <w:t xml:space="preserve"> and </w:t>
      </w:r>
      <w:r w:rsidR="00032156">
        <w:rPr>
          <w:rFonts w:ascii="Arial" w:hAnsi="Arial"/>
        </w:rPr>
        <w:t>the</w:t>
      </w:r>
      <w:r w:rsidRPr="00995A39">
        <w:rPr>
          <w:rFonts w:ascii="Arial" w:hAnsi="Arial"/>
        </w:rPr>
        <w:t xml:space="preserve"> well permitting requirements </w:t>
      </w:r>
      <w:r w:rsidR="00032156">
        <w:rPr>
          <w:rFonts w:ascii="Arial" w:hAnsi="Arial"/>
        </w:rPr>
        <w:t xml:space="preserve">therein </w:t>
      </w:r>
      <w:r w:rsidRPr="00995A39">
        <w:rPr>
          <w:rFonts w:ascii="Arial" w:hAnsi="Arial"/>
        </w:rPr>
        <w:t>will continue “during this drought emergency”</w:t>
      </w:r>
      <w:r w:rsidR="00B334F7" w:rsidRPr="00995A39">
        <w:rPr>
          <w:rFonts w:ascii="Arial" w:hAnsi="Arial"/>
        </w:rPr>
        <w:t xml:space="preserve"> until </w:t>
      </w:r>
      <w:r w:rsidRPr="00995A39">
        <w:rPr>
          <w:rFonts w:ascii="Arial" w:hAnsi="Arial"/>
        </w:rPr>
        <w:t>rescinded by the Governor.</w:t>
      </w:r>
      <w:r w:rsidR="00B334F7" w:rsidRPr="00995A39">
        <w:rPr>
          <w:rStyle w:val="FootnoteReference"/>
          <w:rFonts w:ascii="Arial" w:hAnsi="Arial"/>
        </w:rPr>
        <w:footnoteReference w:id="1"/>
      </w:r>
      <w:r w:rsidR="00B334F7" w:rsidRPr="00995A39">
        <w:rPr>
          <w:rFonts w:ascii="Arial" w:hAnsi="Arial"/>
        </w:rPr>
        <w:t xml:space="preserve"> The</w:t>
      </w:r>
      <w:r w:rsidR="00032156">
        <w:rPr>
          <w:rFonts w:ascii="Arial" w:hAnsi="Arial"/>
        </w:rPr>
        <w:t>se</w:t>
      </w:r>
      <w:r w:rsidR="00B334F7" w:rsidRPr="00995A39">
        <w:rPr>
          <w:rFonts w:ascii="Arial" w:hAnsi="Arial"/>
        </w:rPr>
        <w:t xml:space="preserve"> new requirements</w:t>
      </w:r>
      <w:r w:rsidR="00E16826" w:rsidRPr="00995A39">
        <w:t xml:space="preserve"> </w:t>
      </w:r>
      <w:r w:rsidR="00E16826" w:rsidRPr="00995A39">
        <w:rPr>
          <w:rFonts w:ascii="Arial" w:hAnsi="Arial"/>
        </w:rPr>
        <w:t>increase the time and administrative costs of well permitting for the County.</w:t>
      </w:r>
      <w:r w:rsidR="000C3DDB">
        <w:rPr>
          <w:rFonts w:ascii="Arial" w:hAnsi="Arial"/>
        </w:rPr>
        <w:t xml:space="preserve"> Counties throughout the state have had to</w:t>
      </w:r>
      <w:r w:rsidR="000C3DDB" w:rsidRPr="000C3DDB">
        <w:rPr>
          <w:rFonts w:ascii="Arial" w:hAnsi="Arial"/>
        </w:rPr>
        <w:t xml:space="preserve"> </w:t>
      </w:r>
      <w:r w:rsidR="000C3DDB">
        <w:rPr>
          <w:rFonts w:ascii="Arial" w:hAnsi="Arial"/>
        </w:rPr>
        <w:t>develop a process</w:t>
      </w:r>
      <w:r w:rsidR="000C3DDB" w:rsidRPr="000C3DDB">
        <w:rPr>
          <w:rFonts w:ascii="Arial" w:hAnsi="Arial"/>
        </w:rPr>
        <w:t xml:space="preserve"> to implement the </w:t>
      </w:r>
      <w:r w:rsidR="000C3DDB">
        <w:rPr>
          <w:rFonts w:ascii="Arial" w:hAnsi="Arial"/>
        </w:rPr>
        <w:t>E</w:t>
      </w:r>
      <w:r w:rsidR="000C3DDB" w:rsidRPr="000C3DDB">
        <w:rPr>
          <w:rFonts w:ascii="Arial" w:hAnsi="Arial"/>
        </w:rPr>
        <w:t xml:space="preserve">xecutive </w:t>
      </w:r>
      <w:r w:rsidR="000C3DDB">
        <w:rPr>
          <w:rFonts w:ascii="Arial" w:hAnsi="Arial"/>
        </w:rPr>
        <w:t xml:space="preserve">Order, including </w:t>
      </w:r>
      <w:r w:rsidR="000C3DDB" w:rsidRPr="000C3DDB">
        <w:rPr>
          <w:rFonts w:ascii="Arial" w:hAnsi="Arial"/>
        </w:rPr>
        <w:t>requir</w:t>
      </w:r>
      <w:r w:rsidR="000C3DDB">
        <w:rPr>
          <w:rFonts w:ascii="Arial" w:hAnsi="Arial"/>
        </w:rPr>
        <w:t>ing</w:t>
      </w:r>
      <w:r w:rsidR="000C3DDB" w:rsidRPr="000C3DDB">
        <w:rPr>
          <w:rFonts w:ascii="Arial" w:hAnsi="Arial"/>
        </w:rPr>
        <w:t xml:space="preserve"> permit applications to include information necessary to</w:t>
      </w:r>
      <w:r w:rsidR="000C3DDB">
        <w:rPr>
          <w:rFonts w:ascii="Arial" w:hAnsi="Arial"/>
        </w:rPr>
        <w:t xml:space="preserve"> do </w:t>
      </w:r>
      <w:r w:rsidR="00FF6842">
        <w:rPr>
          <w:rFonts w:ascii="Arial" w:hAnsi="Arial"/>
        </w:rPr>
        <w:t>so</w:t>
      </w:r>
      <w:r w:rsidR="00FF6842" w:rsidRPr="00995A39">
        <w:rPr>
          <w:rFonts w:ascii="Arial" w:hAnsi="Arial"/>
        </w:rPr>
        <w:t>.</w:t>
      </w:r>
      <w:bookmarkStart w:id="0" w:name="_Hlk165362021"/>
      <w:r w:rsidRPr="00995A39">
        <w:rPr>
          <w:rStyle w:val="FootnoteReference"/>
          <w:rFonts w:ascii="Arial" w:hAnsi="Arial"/>
        </w:rPr>
        <w:footnoteReference w:id="2"/>
      </w:r>
      <w:bookmarkEnd w:id="0"/>
      <w:r w:rsidR="00E16826" w:rsidRPr="00995A39">
        <w:rPr>
          <w:rFonts w:ascii="Arial" w:hAnsi="Arial"/>
        </w:rPr>
        <w:t xml:space="preserve"> </w:t>
      </w:r>
    </w:p>
    <w:p w14:paraId="4E3676DC" w14:textId="77777777" w:rsidR="00E16826" w:rsidRPr="00995A39" w:rsidRDefault="00E16826" w:rsidP="00396754">
      <w:pPr>
        <w:autoSpaceDE w:val="0"/>
        <w:autoSpaceDN w:val="0"/>
        <w:adjustRightInd w:val="0"/>
        <w:rPr>
          <w:rFonts w:ascii="Arial" w:hAnsi="Arial"/>
        </w:rPr>
      </w:pPr>
    </w:p>
    <w:p w14:paraId="1A7AA2BA" w14:textId="77777777" w:rsidR="00F51750" w:rsidRPr="00995A39" w:rsidRDefault="006E435C" w:rsidP="00396754">
      <w:pPr>
        <w:autoSpaceDE w:val="0"/>
        <w:autoSpaceDN w:val="0"/>
        <w:adjustRightInd w:val="0"/>
        <w:rPr>
          <w:rFonts w:ascii="Arial" w:hAnsi="Arial"/>
        </w:rPr>
      </w:pPr>
      <w:r w:rsidRPr="00995A39">
        <w:rPr>
          <w:rFonts w:ascii="Arial" w:hAnsi="Arial"/>
        </w:rPr>
        <w:t>Siskiyou County has four medium</w:t>
      </w:r>
      <w:r w:rsidR="00396754" w:rsidRPr="00995A39">
        <w:rPr>
          <w:rFonts w:ascii="Arial" w:hAnsi="Arial"/>
        </w:rPr>
        <w:t>-priority groundwater basin</w:t>
      </w:r>
      <w:r w:rsidRPr="00995A39">
        <w:rPr>
          <w:rFonts w:ascii="Arial" w:hAnsi="Arial"/>
        </w:rPr>
        <w:t>s</w:t>
      </w:r>
      <w:r w:rsidR="003D1911" w:rsidRPr="00995A39">
        <w:rPr>
          <w:rFonts w:ascii="Arial" w:hAnsi="Arial"/>
        </w:rPr>
        <w:t xml:space="preserve">: the </w:t>
      </w:r>
      <w:r w:rsidR="00F51750" w:rsidRPr="00995A39">
        <w:rPr>
          <w:rFonts w:ascii="Arial" w:hAnsi="Arial"/>
        </w:rPr>
        <w:t xml:space="preserve">Shasta Valley, Scott Valley, Butte Valley, and Tulelake subbasins. </w:t>
      </w:r>
      <w:r w:rsidR="0098303A" w:rsidRPr="00995A39">
        <w:rPr>
          <w:rFonts w:ascii="Arial" w:hAnsi="Arial"/>
        </w:rPr>
        <w:t xml:space="preserve">Environmental Health staff </w:t>
      </w:r>
      <w:r w:rsidR="00220D48" w:rsidRPr="00995A39">
        <w:rPr>
          <w:rFonts w:ascii="Arial" w:hAnsi="Arial"/>
        </w:rPr>
        <w:t>has begun</w:t>
      </w:r>
      <w:r w:rsidR="0098303A" w:rsidRPr="00995A39">
        <w:rPr>
          <w:rFonts w:ascii="Arial" w:hAnsi="Arial"/>
        </w:rPr>
        <w:t xml:space="preserve"> staff-level</w:t>
      </w:r>
      <w:r w:rsidR="00396754" w:rsidRPr="00995A39">
        <w:rPr>
          <w:rFonts w:ascii="Arial" w:hAnsi="Arial"/>
        </w:rPr>
        <w:t xml:space="preserve"> </w:t>
      </w:r>
      <w:r w:rsidR="0098303A" w:rsidRPr="00995A39">
        <w:rPr>
          <w:rFonts w:ascii="Arial" w:hAnsi="Arial"/>
        </w:rPr>
        <w:t>communications with the</w:t>
      </w:r>
      <w:r w:rsidRPr="00995A39">
        <w:rPr>
          <w:rFonts w:ascii="Arial" w:hAnsi="Arial"/>
        </w:rPr>
        <w:t xml:space="preserve"> </w:t>
      </w:r>
      <w:r w:rsidR="00396754" w:rsidRPr="00995A39">
        <w:rPr>
          <w:rFonts w:ascii="Arial" w:hAnsi="Arial"/>
        </w:rPr>
        <w:t>G</w:t>
      </w:r>
      <w:r w:rsidR="003D1911" w:rsidRPr="00995A39">
        <w:rPr>
          <w:rFonts w:ascii="Arial" w:hAnsi="Arial"/>
        </w:rPr>
        <w:t xml:space="preserve">roundwater Sustainability Agencies for these </w:t>
      </w:r>
      <w:r w:rsidR="00220D48" w:rsidRPr="00995A39">
        <w:rPr>
          <w:rFonts w:ascii="Arial" w:hAnsi="Arial"/>
        </w:rPr>
        <w:t>su</w:t>
      </w:r>
      <w:r w:rsidR="003D1911" w:rsidRPr="00995A39">
        <w:rPr>
          <w:rFonts w:ascii="Arial" w:hAnsi="Arial"/>
        </w:rPr>
        <w:t>b</w:t>
      </w:r>
      <w:r w:rsidR="00220D48" w:rsidRPr="00995A39">
        <w:rPr>
          <w:rFonts w:ascii="Arial" w:hAnsi="Arial"/>
        </w:rPr>
        <w:t>b</w:t>
      </w:r>
      <w:r w:rsidR="003D1911" w:rsidRPr="00995A39">
        <w:rPr>
          <w:rFonts w:ascii="Arial" w:hAnsi="Arial"/>
        </w:rPr>
        <w:t xml:space="preserve">asins </w:t>
      </w:r>
      <w:r w:rsidR="00396754" w:rsidRPr="00995A39">
        <w:rPr>
          <w:rFonts w:ascii="Arial" w:hAnsi="Arial"/>
        </w:rPr>
        <w:t xml:space="preserve">to establish and implement a review process that is compliant with the Executive Order. </w:t>
      </w:r>
    </w:p>
    <w:p w14:paraId="6DC17403" w14:textId="77777777" w:rsidR="00F51750" w:rsidRPr="00995A39" w:rsidRDefault="00F51750" w:rsidP="00396754">
      <w:pPr>
        <w:autoSpaceDE w:val="0"/>
        <w:autoSpaceDN w:val="0"/>
        <w:adjustRightInd w:val="0"/>
        <w:rPr>
          <w:rFonts w:ascii="Arial" w:hAnsi="Arial"/>
        </w:rPr>
      </w:pPr>
    </w:p>
    <w:p w14:paraId="318C8B01" w14:textId="77777777" w:rsidR="00220D48" w:rsidRPr="00995A39" w:rsidRDefault="0098303A" w:rsidP="003D1911">
      <w:pPr>
        <w:rPr>
          <w:rFonts w:ascii="Arial" w:hAnsi="Arial"/>
        </w:rPr>
      </w:pPr>
      <w:r w:rsidRPr="00995A39">
        <w:rPr>
          <w:rFonts w:ascii="Arial" w:hAnsi="Arial"/>
        </w:rPr>
        <w:t xml:space="preserve">The Community Development Department </w:t>
      </w:r>
      <w:r w:rsidR="00F51750" w:rsidRPr="00995A39">
        <w:rPr>
          <w:rFonts w:ascii="Arial" w:hAnsi="Arial"/>
        </w:rPr>
        <w:t>has also</w:t>
      </w:r>
      <w:r w:rsidR="00CC781D" w:rsidRPr="00995A39">
        <w:rPr>
          <w:rFonts w:ascii="Arial" w:hAnsi="Arial"/>
        </w:rPr>
        <w:t xml:space="preserve"> </w:t>
      </w:r>
      <w:r w:rsidRPr="00995A39">
        <w:rPr>
          <w:rFonts w:ascii="Arial" w:hAnsi="Arial"/>
        </w:rPr>
        <w:t>evaluated</w:t>
      </w:r>
      <w:r w:rsidR="00CC781D" w:rsidRPr="00995A39">
        <w:rPr>
          <w:rFonts w:ascii="Arial" w:hAnsi="Arial"/>
        </w:rPr>
        <w:t xml:space="preserve"> </w:t>
      </w:r>
      <w:r w:rsidR="003D1911" w:rsidRPr="00995A39">
        <w:rPr>
          <w:rFonts w:ascii="Arial" w:hAnsi="Arial"/>
        </w:rPr>
        <w:t xml:space="preserve">its internal application review process to </w:t>
      </w:r>
      <w:r w:rsidR="00CC781D" w:rsidRPr="00995A39">
        <w:rPr>
          <w:rFonts w:ascii="Arial" w:hAnsi="Arial"/>
        </w:rPr>
        <w:t>determine how</w:t>
      </w:r>
      <w:r w:rsidR="002532EB" w:rsidRPr="00995A39">
        <w:rPr>
          <w:rFonts w:ascii="Arial" w:hAnsi="Arial"/>
        </w:rPr>
        <w:t xml:space="preserve"> best</w:t>
      </w:r>
      <w:r w:rsidR="00CC781D" w:rsidRPr="00995A39">
        <w:rPr>
          <w:rFonts w:ascii="Arial" w:hAnsi="Arial"/>
        </w:rPr>
        <w:t xml:space="preserve"> to comply with</w:t>
      </w:r>
      <w:r w:rsidR="003D1911" w:rsidRPr="00995A39">
        <w:rPr>
          <w:rFonts w:ascii="Arial" w:hAnsi="Arial"/>
        </w:rPr>
        <w:t xml:space="preserve"> the Governor’s Executive Order.</w:t>
      </w:r>
      <w:r w:rsidR="00220D48" w:rsidRPr="00995A39">
        <w:t xml:space="preserve"> </w:t>
      </w:r>
      <w:r w:rsidR="00220D48" w:rsidRPr="00995A39">
        <w:rPr>
          <w:rFonts w:ascii="Arial" w:hAnsi="Arial"/>
        </w:rPr>
        <w:t>As a result</w:t>
      </w:r>
      <w:r w:rsidR="00E16826" w:rsidRPr="00995A39">
        <w:rPr>
          <w:rFonts w:ascii="Arial" w:hAnsi="Arial"/>
        </w:rPr>
        <w:t xml:space="preserve"> of the Executive Order</w:t>
      </w:r>
      <w:r w:rsidR="002532EB" w:rsidRPr="00995A39">
        <w:rPr>
          <w:rFonts w:ascii="Arial" w:hAnsi="Arial"/>
        </w:rPr>
        <w:t xml:space="preserve"> and this evaluation process</w:t>
      </w:r>
      <w:r w:rsidR="00220D48" w:rsidRPr="00995A39">
        <w:rPr>
          <w:rFonts w:ascii="Arial" w:hAnsi="Arial"/>
        </w:rPr>
        <w:t>, there has been a delay in the</w:t>
      </w:r>
      <w:r w:rsidR="00E16826" w:rsidRPr="00995A39">
        <w:rPr>
          <w:rFonts w:ascii="Arial" w:hAnsi="Arial"/>
        </w:rPr>
        <w:t xml:space="preserve"> </w:t>
      </w:r>
      <w:r w:rsidRPr="00995A39">
        <w:rPr>
          <w:rFonts w:ascii="Arial" w:hAnsi="Arial"/>
        </w:rPr>
        <w:t xml:space="preserve">Environmental Health </w:t>
      </w:r>
      <w:r w:rsidR="00E16826" w:rsidRPr="00995A39">
        <w:rPr>
          <w:rFonts w:ascii="Arial" w:hAnsi="Arial"/>
        </w:rPr>
        <w:t>Division’s</w:t>
      </w:r>
      <w:r w:rsidR="00220D48" w:rsidRPr="00995A39">
        <w:rPr>
          <w:rFonts w:ascii="Arial" w:hAnsi="Arial"/>
        </w:rPr>
        <w:t xml:space="preserve"> processing and issuance of groundwater well permits</w:t>
      </w:r>
      <w:r w:rsidR="00032156">
        <w:rPr>
          <w:rFonts w:ascii="Arial" w:hAnsi="Arial"/>
        </w:rPr>
        <w:t xml:space="preserve"> that are for wells that are not exempt from the Order’s new requirements</w:t>
      </w:r>
      <w:r w:rsidR="00220D48" w:rsidRPr="00995A39">
        <w:rPr>
          <w:rFonts w:ascii="Arial" w:hAnsi="Arial"/>
        </w:rPr>
        <w:t>.</w:t>
      </w:r>
      <w:r w:rsidR="003D1911" w:rsidRPr="00995A39">
        <w:rPr>
          <w:rFonts w:ascii="Arial" w:hAnsi="Arial"/>
        </w:rPr>
        <w:t xml:space="preserve"> </w:t>
      </w:r>
    </w:p>
    <w:p w14:paraId="77BD7F33" w14:textId="77777777" w:rsidR="001E1787" w:rsidRPr="00995A39" w:rsidRDefault="001E1787" w:rsidP="003D1911">
      <w:pPr>
        <w:autoSpaceDE w:val="0"/>
        <w:autoSpaceDN w:val="0"/>
        <w:adjustRightInd w:val="0"/>
        <w:rPr>
          <w:rFonts w:ascii="Arial" w:hAnsi="Arial"/>
        </w:rPr>
      </w:pPr>
    </w:p>
    <w:p w14:paraId="3BC5BF90" w14:textId="77777777" w:rsidR="001A3C35" w:rsidRPr="00995A39" w:rsidRDefault="001A3C35" w:rsidP="00BA6FF9">
      <w:pPr>
        <w:numPr>
          <w:ilvl w:val="0"/>
          <w:numId w:val="8"/>
        </w:numPr>
        <w:autoSpaceDE w:val="0"/>
        <w:autoSpaceDN w:val="0"/>
        <w:adjustRightInd w:val="0"/>
        <w:rPr>
          <w:rFonts w:ascii="Arial" w:hAnsi="Arial"/>
          <w:b/>
        </w:rPr>
      </w:pPr>
      <w:r w:rsidRPr="00995A39">
        <w:rPr>
          <w:rFonts w:ascii="Arial" w:hAnsi="Arial"/>
          <w:b/>
        </w:rPr>
        <w:t>DISCUSSION</w:t>
      </w:r>
    </w:p>
    <w:p w14:paraId="2C52D0DA" w14:textId="77777777" w:rsidR="00CC781D" w:rsidRPr="00995A39" w:rsidRDefault="00CC781D" w:rsidP="003D1911">
      <w:pPr>
        <w:autoSpaceDE w:val="0"/>
        <w:autoSpaceDN w:val="0"/>
        <w:adjustRightInd w:val="0"/>
        <w:rPr>
          <w:rFonts w:ascii="Arial" w:hAnsi="Arial"/>
        </w:rPr>
      </w:pPr>
    </w:p>
    <w:p w14:paraId="0023175D" w14:textId="77777777" w:rsidR="00E16826" w:rsidRPr="00995A39" w:rsidRDefault="00E16826" w:rsidP="00593BF0">
      <w:pPr>
        <w:autoSpaceDE w:val="0"/>
        <w:autoSpaceDN w:val="0"/>
        <w:adjustRightInd w:val="0"/>
        <w:rPr>
          <w:rFonts w:ascii="Arial" w:hAnsi="Arial"/>
        </w:rPr>
      </w:pPr>
      <w:r w:rsidRPr="00995A39">
        <w:rPr>
          <w:rFonts w:ascii="Arial" w:hAnsi="Arial"/>
        </w:rPr>
        <w:t xml:space="preserve">Today staff is bringing forward </w:t>
      </w:r>
      <w:r w:rsidR="00676A5C">
        <w:rPr>
          <w:rFonts w:ascii="Arial" w:hAnsi="Arial"/>
        </w:rPr>
        <w:t xml:space="preserve">groundwater well </w:t>
      </w:r>
      <w:r w:rsidRPr="00995A39">
        <w:rPr>
          <w:rFonts w:ascii="Arial" w:hAnsi="Arial"/>
        </w:rPr>
        <w:t xml:space="preserve">application process guidelines </w:t>
      </w:r>
      <w:r w:rsidR="00841114">
        <w:rPr>
          <w:rFonts w:ascii="Arial" w:hAnsi="Arial"/>
        </w:rPr>
        <w:t xml:space="preserve">without the addition of an indemnification agreement as directed by the Board </w:t>
      </w:r>
      <w:r w:rsidRPr="00995A39">
        <w:rPr>
          <w:rFonts w:ascii="Arial" w:hAnsi="Arial"/>
        </w:rPr>
        <w:t>(attached hereto as Attachment “A”)</w:t>
      </w:r>
      <w:r w:rsidR="00032156">
        <w:rPr>
          <w:rFonts w:ascii="Arial" w:hAnsi="Arial"/>
        </w:rPr>
        <w:t>.</w:t>
      </w:r>
      <w:r w:rsidR="00C21B35" w:rsidRPr="00995A39">
        <w:rPr>
          <w:rFonts w:ascii="Arial" w:hAnsi="Arial"/>
        </w:rPr>
        <w:t xml:space="preserve"> These guidelines</w:t>
      </w:r>
      <w:r w:rsidR="00A429AF">
        <w:rPr>
          <w:rFonts w:ascii="Arial" w:hAnsi="Arial"/>
        </w:rPr>
        <w:t>, which also contain information about the County’s obligations under the Public Trust Doctrine and the California Environmental Quality Act (CEQA),</w:t>
      </w:r>
      <w:r w:rsidR="00C21B35" w:rsidRPr="00995A39">
        <w:rPr>
          <w:rFonts w:ascii="Arial" w:hAnsi="Arial"/>
        </w:rPr>
        <w:t xml:space="preserve"> </w:t>
      </w:r>
      <w:r w:rsidR="00032156">
        <w:rPr>
          <w:rFonts w:ascii="Arial" w:hAnsi="Arial"/>
        </w:rPr>
        <w:t>explain to the public</w:t>
      </w:r>
      <w:r w:rsidR="00F67907">
        <w:rPr>
          <w:rFonts w:ascii="Arial" w:hAnsi="Arial"/>
        </w:rPr>
        <w:t xml:space="preserve"> </w:t>
      </w:r>
      <w:r w:rsidR="00032156">
        <w:rPr>
          <w:rFonts w:ascii="Arial" w:hAnsi="Arial"/>
        </w:rPr>
        <w:t xml:space="preserve">the requirements of the Executive Order and </w:t>
      </w:r>
      <w:r w:rsidR="00C21B35" w:rsidRPr="00995A39">
        <w:rPr>
          <w:rFonts w:ascii="Arial" w:hAnsi="Arial"/>
        </w:rPr>
        <w:t xml:space="preserve">are meant to </w:t>
      </w:r>
      <w:r w:rsidRPr="00995A39">
        <w:rPr>
          <w:rFonts w:ascii="Arial" w:hAnsi="Arial"/>
        </w:rPr>
        <w:t xml:space="preserve">assist the public with navigating the well </w:t>
      </w:r>
      <w:r w:rsidR="00F67907">
        <w:rPr>
          <w:rFonts w:ascii="Arial" w:hAnsi="Arial"/>
        </w:rPr>
        <w:t>application</w:t>
      </w:r>
      <w:r w:rsidR="00F67907" w:rsidRPr="00995A39">
        <w:rPr>
          <w:rFonts w:ascii="Arial" w:hAnsi="Arial"/>
        </w:rPr>
        <w:t xml:space="preserve"> </w:t>
      </w:r>
      <w:r w:rsidRPr="00995A39">
        <w:rPr>
          <w:rFonts w:ascii="Arial" w:hAnsi="Arial"/>
        </w:rPr>
        <w:t xml:space="preserve">process.  </w:t>
      </w:r>
    </w:p>
    <w:p w14:paraId="5D43E7EE" w14:textId="77777777" w:rsidR="00593BF0" w:rsidRPr="00995A39" w:rsidRDefault="00593BF0" w:rsidP="003D1911">
      <w:pPr>
        <w:autoSpaceDE w:val="0"/>
        <w:autoSpaceDN w:val="0"/>
        <w:adjustRightInd w:val="0"/>
        <w:rPr>
          <w:rFonts w:ascii="Arial" w:hAnsi="Arial"/>
        </w:rPr>
      </w:pPr>
    </w:p>
    <w:p w14:paraId="1125888E" w14:textId="77777777" w:rsidR="002532EB" w:rsidRPr="00995A39" w:rsidRDefault="00C21B35" w:rsidP="003D1911">
      <w:pPr>
        <w:autoSpaceDE w:val="0"/>
        <w:autoSpaceDN w:val="0"/>
        <w:adjustRightInd w:val="0"/>
        <w:rPr>
          <w:rFonts w:ascii="Arial" w:hAnsi="Arial"/>
        </w:rPr>
      </w:pPr>
      <w:r w:rsidRPr="00995A39">
        <w:rPr>
          <w:rFonts w:ascii="Arial" w:hAnsi="Arial"/>
        </w:rPr>
        <w:t>The proposed application process includes</w:t>
      </w:r>
      <w:r w:rsidR="002532EB" w:rsidRPr="00995A39">
        <w:rPr>
          <w:rFonts w:ascii="Arial" w:hAnsi="Arial"/>
        </w:rPr>
        <w:t>:</w:t>
      </w:r>
    </w:p>
    <w:p w14:paraId="67F47172" w14:textId="77777777" w:rsidR="00593BF0" w:rsidRPr="00995A39" w:rsidRDefault="00593BF0" w:rsidP="002B5801">
      <w:pPr>
        <w:autoSpaceDE w:val="0"/>
        <w:autoSpaceDN w:val="0"/>
        <w:adjustRightInd w:val="0"/>
        <w:rPr>
          <w:rFonts w:ascii="Arial" w:hAnsi="Arial"/>
        </w:rPr>
      </w:pPr>
    </w:p>
    <w:p w14:paraId="27B115A8" w14:textId="77777777" w:rsidR="00513DCA" w:rsidRPr="00995A39" w:rsidRDefault="001B09D3" w:rsidP="00513DCA">
      <w:pPr>
        <w:numPr>
          <w:ilvl w:val="0"/>
          <w:numId w:val="10"/>
        </w:numPr>
        <w:rPr>
          <w:rFonts w:ascii="Arial" w:hAnsi="Arial"/>
        </w:rPr>
      </w:pPr>
      <w:r w:rsidRPr="00995A39">
        <w:rPr>
          <w:rFonts w:ascii="Arial" w:hAnsi="Arial"/>
        </w:rPr>
        <w:t>Having well applicants</w:t>
      </w:r>
      <w:r w:rsidR="00F67907">
        <w:rPr>
          <w:rFonts w:ascii="Arial" w:hAnsi="Arial"/>
        </w:rPr>
        <w:t xml:space="preserve"> who are not exempt from the requirements of the Executive Order</w:t>
      </w:r>
      <w:r w:rsidRPr="00995A39">
        <w:rPr>
          <w:rFonts w:ascii="Arial" w:hAnsi="Arial"/>
        </w:rPr>
        <w:t xml:space="preserve"> provide </w:t>
      </w:r>
      <w:r w:rsidR="00220D48" w:rsidRPr="00995A39">
        <w:rPr>
          <w:rFonts w:ascii="Arial" w:hAnsi="Arial"/>
        </w:rPr>
        <w:t xml:space="preserve">a report signed by a </w:t>
      </w:r>
      <w:bookmarkStart w:id="1" w:name="_Hlk147507658"/>
      <w:r w:rsidR="00220D48" w:rsidRPr="00995A39">
        <w:rPr>
          <w:rFonts w:ascii="Arial" w:hAnsi="Arial"/>
        </w:rPr>
        <w:t xml:space="preserve">California licensed Professional Geologist with a Certified Hydrogeologist specialty certification </w:t>
      </w:r>
      <w:bookmarkEnd w:id="1"/>
      <w:r w:rsidR="00220D48" w:rsidRPr="00995A39">
        <w:rPr>
          <w:rFonts w:ascii="Arial" w:hAnsi="Arial"/>
        </w:rPr>
        <w:t>that concludes the extraction of groundwater from the well (1) “is not likely to interfere with the production and functioning of existing nearby wells” and (2) “is not likely to cause subsidence that would adversely impact or damage nearby infrastructu</w:t>
      </w:r>
      <w:r w:rsidR="00476A51" w:rsidRPr="00995A39">
        <w:rPr>
          <w:rFonts w:ascii="Arial" w:hAnsi="Arial"/>
        </w:rPr>
        <w:t xml:space="preserve">re.” (See Paragraph 9(b) of </w:t>
      </w:r>
      <w:r w:rsidR="00220D48" w:rsidRPr="00995A39">
        <w:rPr>
          <w:rFonts w:ascii="Arial" w:hAnsi="Arial"/>
        </w:rPr>
        <w:t>Executive Order N-7-22</w:t>
      </w:r>
      <w:r w:rsidR="001A2CA2">
        <w:rPr>
          <w:rFonts w:ascii="Arial" w:hAnsi="Arial"/>
        </w:rPr>
        <w:t>/N-3-23</w:t>
      </w:r>
      <w:r w:rsidR="00220D48" w:rsidRPr="00995A39">
        <w:rPr>
          <w:rFonts w:ascii="Arial" w:hAnsi="Arial"/>
        </w:rPr>
        <w:t>).</w:t>
      </w:r>
    </w:p>
    <w:p w14:paraId="4F988F71" w14:textId="77777777" w:rsidR="00513DCA" w:rsidRDefault="00513DCA" w:rsidP="00476A51">
      <w:pPr>
        <w:numPr>
          <w:ilvl w:val="0"/>
          <w:numId w:val="10"/>
        </w:numPr>
        <w:rPr>
          <w:rFonts w:ascii="Arial" w:hAnsi="Arial"/>
        </w:rPr>
      </w:pPr>
      <w:r w:rsidRPr="00995A39">
        <w:rPr>
          <w:rFonts w:ascii="Arial" w:hAnsi="Arial"/>
        </w:rPr>
        <w:t xml:space="preserve">If a proposed well </w:t>
      </w:r>
      <w:proofErr w:type="gramStart"/>
      <w:r w:rsidRPr="00995A39">
        <w:rPr>
          <w:rFonts w:ascii="Arial" w:hAnsi="Arial"/>
        </w:rPr>
        <w:t>is located in</w:t>
      </w:r>
      <w:proofErr w:type="gramEnd"/>
      <w:r w:rsidRPr="00995A39">
        <w:rPr>
          <w:rFonts w:ascii="Arial" w:hAnsi="Arial"/>
        </w:rPr>
        <w:t xml:space="preserve"> one of Siskiyou County’s medium-priority groundwater basins, requiring written verification from the Groundwater Sustainability Agency that groundwater extraction by the proposed well would not be inconsistent with the sustainable groundwater management program established in th</w:t>
      </w:r>
      <w:r w:rsidR="00476A51" w:rsidRPr="00995A39">
        <w:rPr>
          <w:rFonts w:ascii="Arial" w:hAnsi="Arial"/>
        </w:rPr>
        <w:t>e Groundwater Sustainability Plan adopted by the agency</w:t>
      </w:r>
      <w:r w:rsidRPr="00995A39">
        <w:rPr>
          <w:rFonts w:ascii="Arial" w:hAnsi="Arial"/>
        </w:rPr>
        <w:t xml:space="preserve"> and would not decrease the lik</w:t>
      </w:r>
      <w:r w:rsidR="00E24BEC" w:rsidRPr="00995A39">
        <w:rPr>
          <w:rFonts w:ascii="Arial" w:hAnsi="Arial"/>
        </w:rPr>
        <w:t xml:space="preserve">elihood </w:t>
      </w:r>
      <w:r w:rsidRPr="00995A39">
        <w:rPr>
          <w:rFonts w:ascii="Arial" w:hAnsi="Arial"/>
        </w:rPr>
        <w:t>of achieving a sustainability goal for the basin.</w:t>
      </w:r>
      <w:r w:rsidR="00476A51" w:rsidRPr="00995A39">
        <w:t xml:space="preserve"> </w:t>
      </w:r>
      <w:r w:rsidR="00476A51" w:rsidRPr="00995A39">
        <w:rPr>
          <w:rFonts w:ascii="Arial" w:hAnsi="Arial"/>
        </w:rPr>
        <w:t>(See Paragraph 9(a) of Executive Order N-7-22</w:t>
      </w:r>
      <w:r w:rsidR="00F67907">
        <w:rPr>
          <w:rFonts w:ascii="Arial" w:hAnsi="Arial"/>
        </w:rPr>
        <w:t xml:space="preserve">, as amended by Executive Order </w:t>
      </w:r>
      <w:r w:rsidR="001A2CA2">
        <w:rPr>
          <w:rFonts w:ascii="Arial" w:hAnsi="Arial"/>
        </w:rPr>
        <w:t>N-3-23</w:t>
      </w:r>
      <w:r w:rsidR="00476A51" w:rsidRPr="00995A39">
        <w:rPr>
          <w:rFonts w:ascii="Arial" w:hAnsi="Arial"/>
        </w:rPr>
        <w:t>).</w:t>
      </w:r>
    </w:p>
    <w:p w14:paraId="2AC3D1D8" w14:textId="59A74A3D" w:rsidR="00E237C9" w:rsidRDefault="00FF6842" w:rsidP="00E26B12">
      <w:pPr>
        <w:numPr>
          <w:ilvl w:val="0"/>
          <w:numId w:val="10"/>
        </w:numPr>
        <w:rPr>
          <w:rFonts w:ascii="Arial" w:hAnsi="Arial"/>
        </w:rPr>
      </w:pPr>
      <w:r>
        <w:rPr>
          <w:rFonts w:ascii="Arial" w:hAnsi="Arial"/>
        </w:rPr>
        <w:t xml:space="preserve">During the BOS meeting held on November 14, </w:t>
      </w:r>
      <w:r w:rsidR="009F1B25">
        <w:rPr>
          <w:rFonts w:ascii="Arial" w:hAnsi="Arial"/>
        </w:rPr>
        <w:t>2023,</w:t>
      </w:r>
      <w:r>
        <w:rPr>
          <w:rFonts w:ascii="Arial" w:hAnsi="Arial"/>
        </w:rPr>
        <w:t xml:space="preserve"> </w:t>
      </w:r>
      <w:r w:rsidR="00E26B12">
        <w:rPr>
          <w:rFonts w:ascii="Arial" w:hAnsi="Arial"/>
        </w:rPr>
        <w:t xml:space="preserve">Supervisors </w:t>
      </w:r>
      <w:r>
        <w:rPr>
          <w:rFonts w:ascii="Arial" w:hAnsi="Arial"/>
        </w:rPr>
        <w:t>discu</w:t>
      </w:r>
      <w:r w:rsidR="00E26B12">
        <w:rPr>
          <w:rFonts w:ascii="Arial" w:hAnsi="Arial"/>
        </w:rPr>
        <w:t>ssed</w:t>
      </w:r>
      <w:r>
        <w:rPr>
          <w:rFonts w:ascii="Arial" w:hAnsi="Arial"/>
        </w:rPr>
        <w:t xml:space="preserve"> </w:t>
      </w:r>
      <w:r w:rsidR="00E26B12">
        <w:rPr>
          <w:rFonts w:ascii="Arial" w:hAnsi="Arial"/>
        </w:rPr>
        <w:t>the issue surrounding</w:t>
      </w:r>
      <w:r>
        <w:rPr>
          <w:rFonts w:ascii="Arial" w:hAnsi="Arial"/>
        </w:rPr>
        <w:t xml:space="preserve"> indemnification </w:t>
      </w:r>
      <w:r w:rsidR="00365FF2">
        <w:rPr>
          <w:rFonts w:ascii="Arial" w:hAnsi="Arial"/>
        </w:rPr>
        <w:t xml:space="preserve">agreements associated with water well </w:t>
      </w:r>
      <w:r w:rsidR="00575E3E">
        <w:rPr>
          <w:rFonts w:ascii="Arial" w:hAnsi="Arial"/>
        </w:rPr>
        <w:t>permitting.  County Coun</w:t>
      </w:r>
      <w:r w:rsidR="00BF1975">
        <w:rPr>
          <w:rFonts w:ascii="Arial" w:hAnsi="Arial"/>
        </w:rPr>
        <w:t>sel</w:t>
      </w:r>
      <w:r w:rsidR="00575E3E">
        <w:rPr>
          <w:rFonts w:ascii="Arial" w:hAnsi="Arial"/>
        </w:rPr>
        <w:t xml:space="preserve"> </w:t>
      </w:r>
      <w:r w:rsidR="00E26B12">
        <w:rPr>
          <w:rFonts w:ascii="Arial" w:hAnsi="Arial"/>
        </w:rPr>
        <w:t>referred</w:t>
      </w:r>
      <w:r w:rsidR="00575E3E">
        <w:rPr>
          <w:rFonts w:ascii="Arial" w:hAnsi="Arial"/>
        </w:rPr>
        <w:t xml:space="preserve"> to resolution 09-20</w:t>
      </w:r>
      <w:r w:rsidR="00144322">
        <w:rPr>
          <w:rFonts w:ascii="Arial" w:hAnsi="Arial"/>
        </w:rPr>
        <w:t xml:space="preserve">, </w:t>
      </w:r>
      <w:r w:rsidR="009F1B25">
        <w:rPr>
          <w:rFonts w:ascii="Arial" w:hAnsi="Arial"/>
        </w:rPr>
        <w:t xml:space="preserve">which requires indemnity agreements for discretionary land use entitlements and </w:t>
      </w:r>
      <w:r w:rsidR="00E26B12">
        <w:rPr>
          <w:rFonts w:ascii="Arial" w:hAnsi="Arial"/>
        </w:rPr>
        <w:t>approvals.</w:t>
      </w:r>
      <w:r w:rsidR="001B09D3" w:rsidRPr="00995A39">
        <w:rPr>
          <w:rStyle w:val="FootnoteReference"/>
          <w:rFonts w:ascii="Arial" w:hAnsi="Arial"/>
        </w:rPr>
        <w:footnoteReference w:id="3"/>
      </w:r>
      <w:r w:rsidR="00144322">
        <w:rPr>
          <w:rFonts w:ascii="Arial" w:hAnsi="Arial"/>
        </w:rPr>
        <w:t xml:space="preserve"> </w:t>
      </w:r>
      <w:r w:rsidR="00E26B12">
        <w:rPr>
          <w:rFonts w:ascii="Arial" w:hAnsi="Arial"/>
        </w:rPr>
        <w:t xml:space="preserve">Ultimately the BOS determined that placing full liability on water well permit applicants is overbearing considering </w:t>
      </w:r>
      <w:r w:rsidR="000C5D00">
        <w:rPr>
          <w:rFonts w:ascii="Arial" w:hAnsi="Arial"/>
        </w:rPr>
        <w:t>applicants</w:t>
      </w:r>
      <w:r w:rsidR="00E26B12">
        <w:rPr>
          <w:rFonts w:ascii="Arial" w:hAnsi="Arial"/>
        </w:rPr>
        <w:t xml:space="preserve"> </w:t>
      </w:r>
      <w:r w:rsidR="000C5D00">
        <w:rPr>
          <w:rFonts w:ascii="Arial" w:hAnsi="Arial"/>
        </w:rPr>
        <w:t>will</w:t>
      </w:r>
      <w:r w:rsidR="00E26B12">
        <w:rPr>
          <w:rFonts w:ascii="Arial" w:hAnsi="Arial"/>
        </w:rPr>
        <w:t xml:space="preserve"> bear the cost to work through the Government created approval process.</w:t>
      </w:r>
      <w:r w:rsidR="00144322" w:rsidRPr="00E26B12">
        <w:rPr>
          <w:rFonts w:ascii="Arial" w:hAnsi="Arial"/>
        </w:rPr>
        <w:t xml:space="preserve"> </w:t>
      </w:r>
    </w:p>
    <w:p w14:paraId="51A7F272" w14:textId="77777777" w:rsidR="00BF1975" w:rsidRPr="00995A39" w:rsidRDefault="00BF1975" w:rsidP="00BF1975">
      <w:pPr>
        <w:ind w:left="360"/>
        <w:rPr>
          <w:rFonts w:ascii="Arial" w:hAnsi="Arial"/>
        </w:rPr>
      </w:pPr>
    </w:p>
    <w:p w14:paraId="3556259C" w14:textId="77777777" w:rsidR="00BA6FF9" w:rsidRPr="00995A39" w:rsidRDefault="00652D7A" w:rsidP="001A3C35">
      <w:pPr>
        <w:numPr>
          <w:ilvl w:val="0"/>
          <w:numId w:val="8"/>
        </w:numPr>
        <w:rPr>
          <w:rFonts w:ascii="Arial" w:hAnsi="Arial"/>
        </w:rPr>
      </w:pPr>
      <w:r>
        <w:rPr>
          <w:rFonts w:ascii="Arial" w:hAnsi="Arial"/>
          <w:b/>
          <w:bCs/>
          <w:color w:val="000000"/>
        </w:rPr>
        <w:t xml:space="preserve">GSA </w:t>
      </w:r>
      <w:r w:rsidR="00BE7955">
        <w:rPr>
          <w:rFonts w:ascii="Arial" w:hAnsi="Arial"/>
          <w:b/>
          <w:bCs/>
          <w:color w:val="000000"/>
        </w:rPr>
        <w:t>FEEDBACK</w:t>
      </w:r>
    </w:p>
    <w:p w14:paraId="44ED98DB" w14:textId="77777777" w:rsidR="001A3C35" w:rsidRPr="00995A39" w:rsidRDefault="001A3C35" w:rsidP="00BA6FF9">
      <w:pPr>
        <w:rPr>
          <w:rFonts w:ascii="Arial" w:hAnsi="Arial"/>
        </w:rPr>
      </w:pPr>
    </w:p>
    <w:p w14:paraId="6A0DD276" w14:textId="77777777" w:rsidR="008E28DD" w:rsidRDefault="0049151D" w:rsidP="00E70D9F">
      <w:pPr>
        <w:rPr>
          <w:rFonts w:ascii="Arial" w:hAnsi="Arial"/>
        </w:rPr>
      </w:pPr>
      <w:r>
        <w:rPr>
          <w:rFonts w:ascii="Arial" w:hAnsi="Arial"/>
        </w:rPr>
        <w:t>As previously noted, t</w:t>
      </w:r>
      <w:r w:rsidR="005F3B78">
        <w:rPr>
          <w:rFonts w:ascii="Arial" w:hAnsi="Arial"/>
        </w:rPr>
        <w:t xml:space="preserve">he primary concerns </w:t>
      </w:r>
      <w:r w:rsidR="004B1F2F">
        <w:rPr>
          <w:rFonts w:ascii="Arial" w:hAnsi="Arial"/>
        </w:rPr>
        <w:t xml:space="preserve">from </w:t>
      </w:r>
      <w:r w:rsidR="00652D7A">
        <w:rPr>
          <w:rFonts w:ascii="Arial" w:hAnsi="Arial"/>
        </w:rPr>
        <w:t xml:space="preserve">GSA </w:t>
      </w:r>
      <w:r w:rsidR="004B1F2F">
        <w:rPr>
          <w:rFonts w:ascii="Arial" w:hAnsi="Arial"/>
        </w:rPr>
        <w:t xml:space="preserve">participants </w:t>
      </w:r>
      <w:r w:rsidR="005F3B78">
        <w:rPr>
          <w:rFonts w:ascii="Arial" w:hAnsi="Arial"/>
        </w:rPr>
        <w:t xml:space="preserve">regarding the draft </w:t>
      </w:r>
      <w:r w:rsidR="005A621A">
        <w:rPr>
          <w:rFonts w:ascii="Arial" w:hAnsi="Arial"/>
        </w:rPr>
        <w:t>groundwater</w:t>
      </w:r>
      <w:r w:rsidR="005F3B78">
        <w:rPr>
          <w:rFonts w:ascii="Arial" w:hAnsi="Arial"/>
        </w:rPr>
        <w:t xml:space="preserve"> </w:t>
      </w:r>
      <w:r w:rsidR="00F67907">
        <w:rPr>
          <w:rFonts w:ascii="Arial" w:hAnsi="Arial"/>
        </w:rPr>
        <w:t xml:space="preserve">well application </w:t>
      </w:r>
      <w:r w:rsidR="005F3B78">
        <w:rPr>
          <w:rFonts w:ascii="Arial" w:hAnsi="Arial"/>
        </w:rPr>
        <w:t xml:space="preserve">guidelines were the requirement of </w:t>
      </w:r>
      <w:r w:rsidR="008E28DD">
        <w:rPr>
          <w:rFonts w:ascii="Arial" w:hAnsi="Arial"/>
        </w:rPr>
        <w:t>an</w:t>
      </w:r>
      <w:r w:rsidR="005F3B78">
        <w:rPr>
          <w:rFonts w:ascii="Arial" w:hAnsi="Arial"/>
        </w:rPr>
        <w:t xml:space="preserve"> indemnification agreement to be signed by the property owner/applicant and secondly the </w:t>
      </w:r>
      <w:r w:rsidR="005A621A">
        <w:rPr>
          <w:rFonts w:ascii="Arial" w:hAnsi="Arial"/>
        </w:rPr>
        <w:t>requirement</w:t>
      </w:r>
      <w:r w:rsidR="005F3B78">
        <w:rPr>
          <w:rFonts w:ascii="Arial" w:hAnsi="Arial"/>
        </w:rPr>
        <w:t xml:space="preserve"> to provide a hydrology analysis by a </w:t>
      </w:r>
      <w:r w:rsidR="005F3B78" w:rsidRPr="00995A39">
        <w:rPr>
          <w:rFonts w:ascii="Arial" w:hAnsi="Arial"/>
        </w:rPr>
        <w:t>California licensed Professional Geologist with a Certified Hydrogeologist specialty certification</w:t>
      </w:r>
      <w:r w:rsidR="005F3B78">
        <w:rPr>
          <w:rFonts w:ascii="Arial" w:hAnsi="Arial"/>
        </w:rPr>
        <w:t xml:space="preserve">.  </w:t>
      </w:r>
      <w:r w:rsidR="008E28DD">
        <w:rPr>
          <w:rFonts w:ascii="Arial" w:hAnsi="Arial"/>
        </w:rPr>
        <w:t>Commenters pointed out</w:t>
      </w:r>
      <w:r w:rsidR="005F3B78">
        <w:rPr>
          <w:rFonts w:ascii="Arial" w:hAnsi="Arial"/>
        </w:rPr>
        <w:t xml:space="preserve"> </w:t>
      </w:r>
      <w:r w:rsidR="008E28DD">
        <w:rPr>
          <w:rFonts w:ascii="Arial" w:hAnsi="Arial"/>
        </w:rPr>
        <w:t>that it is not likely that an applicant would sign an indemnification agreement thus effectively creating a moratorium on well drilling.  Also,</w:t>
      </w:r>
      <w:r w:rsidR="00652D7A">
        <w:rPr>
          <w:rFonts w:ascii="Arial" w:hAnsi="Arial"/>
        </w:rPr>
        <w:t xml:space="preserve"> participants</w:t>
      </w:r>
      <w:r w:rsidR="008E28DD">
        <w:rPr>
          <w:rFonts w:ascii="Arial" w:hAnsi="Arial"/>
        </w:rPr>
        <w:t xml:space="preserve"> stated that it is extremely difficult to find a Hydrogeologist that is willing to participate given the liability risk.</w:t>
      </w:r>
    </w:p>
    <w:p w14:paraId="2F4FEEF5" w14:textId="77777777" w:rsidR="00A5612D" w:rsidRDefault="00A5612D" w:rsidP="00E70D9F">
      <w:pPr>
        <w:rPr>
          <w:rFonts w:ascii="Arial" w:hAnsi="Arial"/>
        </w:rPr>
      </w:pPr>
    </w:p>
    <w:p w14:paraId="288EEAAC" w14:textId="77777777" w:rsidR="009A06E5" w:rsidRDefault="00A5612D" w:rsidP="00E70D9F">
      <w:pPr>
        <w:rPr>
          <w:rFonts w:ascii="Arial" w:hAnsi="Arial"/>
        </w:rPr>
      </w:pPr>
      <w:r>
        <w:rPr>
          <w:rFonts w:ascii="Arial" w:hAnsi="Arial"/>
        </w:rPr>
        <w:t xml:space="preserve">In response to this feedback, </w:t>
      </w:r>
      <w:r w:rsidR="0049151D">
        <w:rPr>
          <w:rFonts w:ascii="Arial" w:hAnsi="Arial"/>
        </w:rPr>
        <w:t xml:space="preserve">the BOS has directed </w:t>
      </w:r>
      <w:r>
        <w:rPr>
          <w:rFonts w:ascii="Arial" w:hAnsi="Arial"/>
        </w:rPr>
        <w:t xml:space="preserve">staff </w:t>
      </w:r>
      <w:r w:rsidR="0049151D">
        <w:rPr>
          <w:rFonts w:ascii="Arial" w:hAnsi="Arial"/>
        </w:rPr>
        <w:t xml:space="preserve">to discontinue the </w:t>
      </w:r>
      <w:r w:rsidR="00DA230E">
        <w:rPr>
          <w:rFonts w:ascii="Arial" w:hAnsi="Arial"/>
        </w:rPr>
        <w:t>requirement</w:t>
      </w:r>
      <w:r w:rsidR="0049151D">
        <w:rPr>
          <w:rFonts w:ascii="Arial" w:hAnsi="Arial"/>
        </w:rPr>
        <w:t xml:space="preserve"> </w:t>
      </w:r>
      <w:r w:rsidR="00E26B12">
        <w:rPr>
          <w:rFonts w:ascii="Arial" w:hAnsi="Arial"/>
        </w:rPr>
        <w:t>of</w:t>
      </w:r>
      <w:r w:rsidR="00DA230E">
        <w:rPr>
          <w:rFonts w:ascii="Arial" w:hAnsi="Arial"/>
        </w:rPr>
        <w:t xml:space="preserve"> an</w:t>
      </w:r>
      <w:r w:rsidR="00E26B12">
        <w:rPr>
          <w:rFonts w:ascii="Arial" w:hAnsi="Arial"/>
        </w:rPr>
        <w:t xml:space="preserve"> indemnification</w:t>
      </w:r>
      <w:r w:rsidR="0049151D">
        <w:rPr>
          <w:rFonts w:ascii="Arial" w:hAnsi="Arial"/>
        </w:rPr>
        <w:t xml:space="preserve"> clause </w:t>
      </w:r>
      <w:r w:rsidR="00DA230E">
        <w:rPr>
          <w:rFonts w:ascii="Arial" w:hAnsi="Arial"/>
        </w:rPr>
        <w:t>associated with the</w:t>
      </w:r>
      <w:r w:rsidR="0049151D">
        <w:rPr>
          <w:rFonts w:ascii="Arial" w:hAnsi="Arial"/>
        </w:rPr>
        <w:t xml:space="preserve"> issu</w:t>
      </w:r>
      <w:r w:rsidR="00DA230E">
        <w:rPr>
          <w:rFonts w:ascii="Arial" w:hAnsi="Arial"/>
        </w:rPr>
        <w:t>ance of</w:t>
      </w:r>
      <w:r w:rsidR="0049151D">
        <w:rPr>
          <w:rFonts w:ascii="Arial" w:hAnsi="Arial"/>
        </w:rPr>
        <w:t xml:space="preserve"> </w:t>
      </w:r>
      <w:r w:rsidR="00E26B12">
        <w:rPr>
          <w:rFonts w:ascii="Arial" w:hAnsi="Arial"/>
        </w:rPr>
        <w:t xml:space="preserve">water </w:t>
      </w:r>
      <w:r w:rsidR="0049151D">
        <w:rPr>
          <w:rFonts w:ascii="Arial" w:hAnsi="Arial"/>
        </w:rPr>
        <w:t xml:space="preserve">well drilling permits. </w:t>
      </w:r>
      <w:r w:rsidR="005A4024">
        <w:rPr>
          <w:rFonts w:ascii="Arial" w:hAnsi="Arial"/>
        </w:rPr>
        <w:lastRenderedPageBreak/>
        <w:t>Also</w:t>
      </w:r>
      <w:r w:rsidR="00DA230E">
        <w:rPr>
          <w:rFonts w:ascii="Arial" w:hAnsi="Arial"/>
        </w:rPr>
        <w:t>,</w:t>
      </w:r>
      <w:r w:rsidR="005A4024">
        <w:rPr>
          <w:rFonts w:ascii="Arial" w:hAnsi="Arial"/>
        </w:rPr>
        <w:t xml:space="preserve"> note that a couple of Hydrogeologists/firms have participated </w:t>
      </w:r>
      <w:r w:rsidR="00DA230E">
        <w:rPr>
          <w:rFonts w:ascii="Arial" w:hAnsi="Arial"/>
        </w:rPr>
        <w:t>and provided hydrogeologic analysis for</w:t>
      </w:r>
      <w:r w:rsidR="005A4024">
        <w:rPr>
          <w:rFonts w:ascii="Arial" w:hAnsi="Arial"/>
        </w:rPr>
        <w:t xml:space="preserve"> the water well permitting</w:t>
      </w:r>
      <w:r w:rsidR="00DA230E">
        <w:rPr>
          <w:rFonts w:ascii="Arial" w:hAnsi="Arial"/>
        </w:rPr>
        <w:t xml:space="preserve"> application</w:t>
      </w:r>
      <w:r w:rsidR="005A4024">
        <w:rPr>
          <w:rFonts w:ascii="Arial" w:hAnsi="Arial"/>
        </w:rPr>
        <w:t xml:space="preserve"> process within Siskiyou County.  Further, Dr. Foglia – Larry Walker and associates continue to develop a </w:t>
      </w:r>
      <w:r w:rsidR="008912DE">
        <w:rPr>
          <w:rFonts w:ascii="Arial" w:hAnsi="Arial"/>
        </w:rPr>
        <w:t>d</w:t>
      </w:r>
      <w:r w:rsidRPr="00A5612D">
        <w:rPr>
          <w:rFonts w:ascii="Arial" w:hAnsi="Arial"/>
        </w:rPr>
        <w:t xml:space="preserve">ecision </w:t>
      </w:r>
      <w:r w:rsidR="008912DE">
        <w:rPr>
          <w:rFonts w:ascii="Arial" w:hAnsi="Arial"/>
        </w:rPr>
        <w:t>s</w:t>
      </w:r>
      <w:r w:rsidRPr="00A5612D">
        <w:rPr>
          <w:rFonts w:ascii="Arial" w:hAnsi="Arial"/>
        </w:rPr>
        <w:t xml:space="preserve">upport </w:t>
      </w:r>
      <w:r w:rsidR="008912DE">
        <w:rPr>
          <w:rFonts w:ascii="Arial" w:hAnsi="Arial"/>
        </w:rPr>
        <w:t>t</w:t>
      </w:r>
      <w:r w:rsidRPr="00A5612D">
        <w:rPr>
          <w:rFonts w:ascii="Arial" w:hAnsi="Arial"/>
        </w:rPr>
        <w:t>ool</w:t>
      </w:r>
      <w:r>
        <w:rPr>
          <w:rFonts w:ascii="Arial" w:hAnsi="Arial"/>
        </w:rPr>
        <w:t>,</w:t>
      </w:r>
      <w:r w:rsidRPr="00A5612D">
        <w:rPr>
          <w:rFonts w:ascii="Arial" w:hAnsi="Arial"/>
        </w:rPr>
        <w:t xml:space="preserve"> </w:t>
      </w:r>
      <w:r w:rsidR="005A4024">
        <w:rPr>
          <w:rFonts w:ascii="Arial" w:hAnsi="Arial"/>
        </w:rPr>
        <w:t>to</w:t>
      </w:r>
      <w:r w:rsidR="008912DE">
        <w:rPr>
          <w:rFonts w:ascii="Arial" w:hAnsi="Arial"/>
        </w:rPr>
        <w:t xml:space="preserve"> </w:t>
      </w:r>
      <w:r w:rsidRPr="00A5612D">
        <w:rPr>
          <w:rFonts w:ascii="Arial" w:hAnsi="Arial"/>
        </w:rPr>
        <w:t>provide a</w:t>
      </w:r>
      <w:r w:rsidR="008912DE">
        <w:rPr>
          <w:rFonts w:ascii="Arial" w:hAnsi="Arial"/>
        </w:rPr>
        <w:t xml:space="preserve">n </w:t>
      </w:r>
      <w:r w:rsidRPr="00A5612D">
        <w:rPr>
          <w:rFonts w:ascii="Arial" w:hAnsi="Arial"/>
        </w:rPr>
        <w:t xml:space="preserve">alternative </w:t>
      </w:r>
      <w:r w:rsidR="008912DE">
        <w:rPr>
          <w:rFonts w:ascii="Arial" w:hAnsi="Arial"/>
        </w:rPr>
        <w:t>means to make the findings required by the Executive Order</w:t>
      </w:r>
      <w:r w:rsidR="005A4024">
        <w:rPr>
          <w:rFonts w:ascii="Arial" w:hAnsi="Arial"/>
        </w:rPr>
        <w:t>, Public Trust Doctrine, and GSP compatibility.</w:t>
      </w:r>
      <w:r w:rsidR="00DA230E">
        <w:rPr>
          <w:rFonts w:ascii="Arial" w:hAnsi="Arial"/>
        </w:rPr>
        <w:t xml:space="preserve">  </w:t>
      </w:r>
    </w:p>
    <w:p w14:paraId="0DCD8EC5" w14:textId="77777777" w:rsidR="009A06E5" w:rsidRDefault="009A06E5" w:rsidP="00E70D9F">
      <w:pPr>
        <w:rPr>
          <w:rFonts w:ascii="Arial" w:hAnsi="Arial"/>
        </w:rPr>
      </w:pPr>
    </w:p>
    <w:p w14:paraId="21EADD95" w14:textId="77777777" w:rsidR="00886E2F" w:rsidRPr="00BA6FB2" w:rsidRDefault="00886E2F" w:rsidP="00886E2F">
      <w:pPr>
        <w:numPr>
          <w:ilvl w:val="0"/>
          <w:numId w:val="8"/>
        </w:numPr>
        <w:rPr>
          <w:rFonts w:ascii="Arial" w:hAnsi="Arial"/>
          <w:b/>
          <w:bCs/>
        </w:rPr>
      </w:pPr>
      <w:r w:rsidRPr="00BA6FB2">
        <w:rPr>
          <w:rFonts w:ascii="Arial" w:hAnsi="Arial"/>
          <w:b/>
          <w:bCs/>
        </w:rPr>
        <w:t>BROADER ISSUES</w:t>
      </w:r>
    </w:p>
    <w:p w14:paraId="4A435194" w14:textId="77777777" w:rsidR="00886E2F" w:rsidRDefault="00886E2F" w:rsidP="00886E2F">
      <w:pPr>
        <w:rPr>
          <w:rFonts w:ascii="Arial" w:hAnsi="Arial"/>
        </w:rPr>
      </w:pPr>
    </w:p>
    <w:p w14:paraId="139D7A4D" w14:textId="77777777" w:rsidR="009A06E5" w:rsidRDefault="0035342C" w:rsidP="00886E2F">
      <w:pPr>
        <w:rPr>
          <w:rFonts w:ascii="Arial" w:hAnsi="Arial"/>
        </w:rPr>
      </w:pPr>
      <w:r>
        <w:rPr>
          <w:rFonts w:ascii="Arial" w:hAnsi="Arial"/>
        </w:rPr>
        <w:t xml:space="preserve">While the </w:t>
      </w:r>
      <w:r w:rsidRPr="0035342C">
        <w:rPr>
          <w:rFonts w:ascii="Arial" w:hAnsi="Arial"/>
        </w:rPr>
        <w:t xml:space="preserve">application processing guidelines </w:t>
      </w:r>
      <w:r w:rsidR="009A06E5">
        <w:rPr>
          <w:rFonts w:ascii="Arial" w:hAnsi="Arial"/>
        </w:rPr>
        <w:t>are</w:t>
      </w:r>
      <w:r>
        <w:rPr>
          <w:rFonts w:ascii="Arial" w:hAnsi="Arial"/>
        </w:rPr>
        <w:t xml:space="preserve"> meant to address the requirements of the Executive Order and to educate the public on the authorities under which Environmental </w:t>
      </w:r>
      <w:r w:rsidR="00CE6242">
        <w:rPr>
          <w:rFonts w:ascii="Arial" w:hAnsi="Arial"/>
        </w:rPr>
        <w:t>Health processes applications</w:t>
      </w:r>
      <w:r>
        <w:rPr>
          <w:rFonts w:ascii="Arial" w:hAnsi="Arial"/>
        </w:rPr>
        <w:t xml:space="preserve">, staff continues to evaluate </w:t>
      </w:r>
      <w:r w:rsidR="00CE6242">
        <w:rPr>
          <w:rFonts w:ascii="Arial" w:hAnsi="Arial"/>
        </w:rPr>
        <w:t>other issues for future action</w:t>
      </w:r>
      <w:r w:rsidR="009A06E5">
        <w:rPr>
          <w:rFonts w:ascii="Arial" w:hAnsi="Arial"/>
        </w:rPr>
        <w:t xml:space="preserve"> raised by commentors</w:t>
      </w:r>
      <w:r w:rsidR="00CE6242">
        <w:rPr>
          <w:rFonts w:ascii="Arial" w:hAnsi="Arial"/>
        </w:rPr>
        <w:t xml:space="preserve">.  </w:t>
      </w:r>
      <w:r w:rsidR="009A06E5">
        <w:rPr>
          <w:rFonts w:ascii="Arial" w:hAnsi="Arial"/>
        </w:rPr>
        <w:t>These issues include further</w:t>
      </w:r>
      <w:r w:rsidR="00CE6242">
        <w:rPr>
          <w:rFonts w:ascii="Arial" w:hAnsi="Arial"/>
        </w:rPr>
        <w:t xml:space="preserve"> refinement of the </w:t>
      </w:r>
      <w:r w:rsidR="009A06E5">
        <w:rPr>
          <w:rFonts w:ascii="Arial" w:hAnsi="Arial"/>
        </w:rPr>
        <w:t>modeling</w:t>
      </w:r>
      <w:r w:rsidR="00CE6242" w:rsidRPr="00CE6242">
        <w:rPr>
          <w:rFonts w:ascii="Arial" w:hAnsi="Arial"/>
        </w:rPr>
        <w:t xml:space="preserve"> t</w:t>
      </w:r>
      <w:r w:rsidR="009A06E5">
        <w:rPr>
          <w:rFonts w:ascii="Arial" w:hAnsi="Arial"/>
        </w:rPr>
        <w:t>hat supports</w:t>
      </w:r>
      <w:r w:rsidR="00CE6242" w:rsidRPr="00CE6242">
        <w:rPr>
          <w:rFonts w:ascii="Arial" w:hAnsi="Arial"/>
        </w:rPr>
        <w:t xml:space="preserve"> consider</w:t>
      </w:r>
      <w:r w:rsidR="009A06E5">
        <w:rPr>
          <w:rFonts w:ascii="Arial" w:hAnsi="Arial"/>
        </w:rPr>
        <w:t>ation of</w:t>
      </w:r>
      <w:r w:rsidR="00CE6242" w:rsidRPr="00CE6242">
        <w:rPr>
          <w:rFonts w:ascii="Arial" w:hAnsi="Arial"/>
        </w:rPr>
        <w:t xml:space="preserve"> potential adverse impacts on public trust resources</w:t>
      </w:r>
      <w:r w:rsidR="00CE6242">
        <w:rPr>
          <w:rFonts w:ascii="Arial" w:hAnsi="Arial"/>
        </w:rPr>
        <w:t xml:space="preserve"> </w:t>
      </w:r>
      <w:r w:rsidR="00CE6242" w:rsidRPr="00CE6242">
        <w:rPr>
          <w:rFonts w:ascii="Arial" w:hAnsi="Arial"/>
        </w:rPr>
        <w:t>when approving well permits.</w:t>
      </w:r>
      <w:r w:rsidR="009A06E5">
        <w:rPr>
          <w:rFonts w:ascii="Arial" w:hAnsi="Arial"/>
        </w:rPr>
        <w:t xml:space="preserve"> </w:t>
      </w:r>
    </w:p>
    <w:p w14:paraId="1B69A627" w14:textId="77777777" w:rsidR="009A06E5" w:rsidRDefault="009A06E5" w:rsidP="00E70D9F">
      <w:pPr>
        <w:rPr>
          <w:rFonts w:ascii="Arial" w:hAnsi="Arial"/>
        </w:rPr>
      </w:pPr>
    </w:p>
    <w:p w14:paraId="3F17F944" w14:textId="77777777" w:rsidR="00A5612D" w:rsidRDefault="0049151D" w:rsidP="00E70D9F">
      <w:pPr>
        <w:rPr>
          <w:rFonts w:ascii="Arial" w:hAnsi="Arial"/>
        </w:rPr>
      </w:pPr>
      <w:r>
        <w:rPr>
          <w:rFonts w:ascii="Arial" w:hAnsi="Arial"/>
        </w:rPr>
        <w:t>At the November 14</w:t>
      </w:r>
      <w:r w:rsidRPr="00A5612D">
        <w:rPr>
          <w:rFonts w:ascii="Arial" w:hAnsi="Arial"/>
        </w:rPr>
        <w:t xml:space="preserve">, </w:t>
      </w:r>
      <w:proofErr w:type="gramStart"/>
      <w:r w:rsidRPr="00A5612D">
        <w:rPr>
          <w:rFonts w:ascii="Arial" w:hAnsi="Arial"/>
        </w:rPr>
        <w:t>2023</w:t>
      </w:r>
      <w:proofErr w:type="gramEnd"/>
      <w:r w:rsidRPr="00A5612D">
        <w:rPr>
          <w:rFonts w:ascii="Arial" w:hAnsi="Arial"/>
        </w:rPr>
        <w:t xml:space="preserve"> </w:t>
      </w:r>
      <w:r>
        <w:rPr>
          <w:rFonts w:ascii="Arial" w:hAnsi="Arial"/>
        </w:rPr>
        <w:t xml:space="preserve">BOS meeting, </w:t>
      </w:r>
      <w:r w:rsidRPr="00A5612D">
        <w:rPr>
          <w:rFonts w:ascii="Arial" w:hAnsi="Arial"/>
        </w:rPr>
        <w:t xml:space="preserve">Dr. Foglia </w:t>
      </w:r>
      <w:r>
        <w:rPr>
          <w:rFonts w:ascii="Arial" w:hAnsi="Arial"/>
        </w:rPr>
        <w:t>provided a</w:t>
      </w:r>
      <w:r w:rsidR="00A5612D" w:rsidRPr="00A5612D">
        <w:rPr>
          <w:rFonts w:ascii="Arial" w:hAnsi="Arial"/>
        </w:rPr>
        <w:t xml:space="preserve"> </w:t>
      </w:r>
      <w:r w:rsidR="008912DE">
        <w:rPr>
          <w:rFonts w:ascii="Arial" w:hAnsi="Arial"/>
        </w:rPr>
        <w:t xml:space="preserve">conceptual </w:t>
      </w:r>
      <w:r w:rsidR="00A5612D" w:rsidRPr="00A5612D">
        <w:rPr>
          <w:rFonts w:ascii="Arial" w:hAnsi="Arial"/>
        </w:rPr>
        <w:t xml:space="preserve">presentation </w:t>
      </w:r>
      <w:r w:rsidR="008912DE">
        <w:rPr>
          <w:rFonts w:ascii="Arial" w:hAnsi="Arial"/>
        </w:rPr>
        <w:t xml:space="preserve">of </w:t>
      </w:r>
      <w:r w:rsidR="009A06E5">
        <w:rPr>
          <w:rFonts w:ascii="Arial" w:hAnsi="Arial"/>
        </w:rPr>
        <w:t>a support</w:t>
      </w:r>
      <w:r w:rsidR="008912DE">
        <w:rPr>
          <w:rFonts w:ascii="Arial" w:hAnsi="Arial"/>
        </w:rPr>
        <w:t xml:space="preserve"> tool </w:t>
      </w:r>
      <w:r w:rsidR="00CB2B7E">
        <w:rPr>
          <w:rFonts w:ascii="Arial" w:hAnsi="Arial"/>
        </w:rPr>
        <w:t xml:space="preserve">that </w:t>
      </w:r>
      <w:r w:rsidR="00CB2B7E" w:rsidRPr="00CB2B7E">
        <w:rPr>
          <w:rFonts w:ascii="Arial" w:hAnsi="Arial"/>
        </w:rPr>
        <w:t>could be utilized to establish ministerial versus discretionary permitting parameters</w:t>
      </w:r>
      <w:r>
        <w:rPr>
          <w:rFonts w:ascii="Arial" w:hAnsi="Arial"/>
        </w:rPr>
        <w:t xml:space="preserve">.  May 21, 2024, Dr. Foglia will provide an update of the support tool development and anticipated </w:t>
      </w:r>
      <w:r w:rsidR="005A4024">
        <w:rPr>
          <w:rFonts w:ascii="Arial" w:hAnsi="Arial"/>
        </w:rPr>
        <w:t>timeline</w:t>
      </w:r>
      <w:r>
        <w:rPr>
          <w:rFonts w:ascii="Arial" w:hAnsi="Arial"/>
        </w:rPr>
        <w:t xml:space="preserve"> of competition. </w:t>
      </w:r>
    </w:p>
    <w:p w14:paraId="15C26A0A" w14:textId="77777777" w:rsidR="00652D7A" w:rsidRPr="00BA6FB2" w:rsidRDefault="00652D7A" w:rsidP="00E70D9F">
      <w:pPr>
        <w:rPr>
          <w:rFonts w:ascii="Arial" w:hAnsi="Arial"/>
          <w:b/>
          <w:bCs/>
        </w:rPr>
      </w:pPr>
    </w:p>
    <w:p w14:paraId="5E6ACE48" w14:textId="77777777" w:rsidR="00652D7A" w:rsidRPr="00BA6FB2" w:rsidRDefault="00652D7A" w:rsidP="00BA6FB2">
      <w:pPr>
        <w:numPr>
          <w:ilvl w:val="0"/>
          <w:numId w:val="8"/>
        </w:numPr>
        <w:rPr>
          <w:rFonts w:ascii="Arial" w:hAnsi="Arial"/>
          <w:b/>
          <w:bCs/>
        </w:rPr>
      </w:pPr>
      <w:r w:rsidRPr="00BA6FB2">
        <w:rPr>
          <w:rFonts w:ascii="Arial" w:hAnsi="Arial"/>
          <w:b/>
          <w:bCs/>
        </w:rPr>
        <w:t>CONCLUSION</w:t>
      </w:r>
    </w:p>
    <w:p w14:paraId="42789964" w14:textId="77777777" w:rsidR="008E28DD" w:rsidRDefault="008E28DD" w:rsidP="00E70D9F">
      <w:pPr>
        <w:rPr>
          <w:rFonts w:ascii="Arial" w:hAnsi="Arial"/>
        </w:rPr>
      </w:pPr>
    </w:p>
    <w:p w14:paraId="27A1671F" w14:textId="77777777" w:rsidR="004B1F2F" w:rsidRDefault="008E28DD" w:rsidP="00E70D9F">
      <w:pPr>
        <w:rPr>
          <w:rFonts w:ascii="Arial" w:hAnsi="Arial"/>
        </w:rPr>
      </w:pPr>
      <w:r>
        <w:rPr>
          <w:rFonts w:ascii="Arial" w:hAnsi="Arial"/>
        </w:rPr>
        <w:t>In</w:t>
      </w:r>
      <w:r w:rsidR="005F3B78" w:rsidRPr="00995A39">
        <w:rPr>
          <w:rFonts w:ascii="Arial" w:hAnsi="Arial"/>
        </w:rPr>
        <w:t xml:space="preserve"> conclusion, </w:t>
      </w:r>
      <w:r w:rsidR="002532EB" w:rsidRPr="00995A39">
        <w:rPr>
          <w:rFonts w:ascii="Arial" w:hAnsi="Arial"/>
        </w:rPr>
        <w:t>the requirements of</w:t>
      </w:r>
      <w:r w:rsidR="002C32EB" w:rsidRPr="00995A39">
        <w:rPr>
          <w:rFonts w:ascii="Arial" w:hAnsi="Arial"/>
        </w:rPr>
        <w:t xml:space="preserve"> Governor Newsom’s </w:t>
      </w:r>
      <w:r w:rsidR="00E237C9" w:rsidRPr="00995A39">
        <w:rPr>
          <w:rFonts w:ascii="Arial" w:hAnsi="Arial"/>
        </w:rPr>
        <w:t>Executive Order N-7-22</w:t>
      </w:r>
      <w:r w:rsidR="00652D7A">
        <w:rPr>
          <w:rFonts w:ascii="Arial" w:hAnsi="Arial"/>
        </w:rPr>
        <w:t xml:space="preserve">, as amended by Executive Order </w:t>
      </w:r>
      <w:r w:rsidR="005F3B78">
        <w:rPr>
          <w:rFonts w:ascii="Arial" w:hAnsi="Arial"/>
        </w:rPr>
        <w:t>N-3-23</w:t>
      </w:r>
      <w:r w:rsidR="00652D7A">
        <w:rPr>
          <w:rFonts w:ascii="Arial" w:hAnsi="Arial"/>
        </w:rPr>
        <w:t>,</w:t>
      </w:r>
      <w:r w:rsidR="00E237C9" w:rsidRPr="00995A39">
        <w:rPr>
          <w:rFonts w:ascii="Arial" w:hAnsi="Arial"/>
        </w:rPr>
        <w:t xml:space="preserve"> and its more stringent well permitting </w:t>
      </w:r>
      <w:r w:rsidR="00573062" w:rsidRPr="00995A39">
        <w:rPr>
          <w:rFonts w:ascii="Arial" w:hAnsi="Arial"/>
        </w:rPr>
        <w:t xml:space="preserve">process </w:t>
      </w:r>
      <w:r w:rsidR="00E237C9" w:rsidRPr="00995A39">
        <w:rPr>
          <w:rFonts w:ascii="Arial" w:hAnsi="Arial"/>
        </w:rPr>
        <w:t xml:space="preserve">require the County to </w:t>
      </w:r>
      <w:r w:rsidR="00593BF0" w:rsidRPr="00995A39">
        <w:rPr>
          <w:rFonts w:ascii="Arial" w:hAnsi="Arial"/>
        </w:rPr>
        <w:t>modify its</w:t>
      </w:r>
      <w:r w:rsidR="00E237C9" w:rsidRPr="00995A39">
        <w:rPr>
          <w:rFonts w:ascii="Arial" w:hAnsi="Arial"/>
        </w:rPr>
        <w:t xml:space="preserve"> well application </w:t>
      </w:r>
      <w:r w:rsidR="002C32EB" w:rsidRPr="00995A39">
        <w:rPr>
          <w:rFonts w:ascii="Arial" w:hAnsi="Arial"/>
        </w:rPr>
        <w:t xml:space="preserve">review </w:t>
      </w:r>
      <w:r w:rsidR="00E237C9" w:rsidRPr="00995A39">
        <w:rPr>
          <w:rFonts w:ascii="Arial" w:hAnsi="Arial"/>
        </w:rPr>
        <w:t>process</w:t>
      </w:r>
      <w:r w:rsidR="00BE7955">
        <w:rPr>
          <w:rFonts w:ascii="Arial" w:hAnsi="Arial"/>
        </w:rPr>
        <w:t xml:space="preserve"> to comply with the Order</w:t>
      </w:r>
      <w:r w:rsidR="00C21B35" w:rsidRPr="00995A39">
        <w:rPr>
          <w:rFonts w:ascii="Arial" w:hAnsi="Arial"/>
        </w:rPr>
        <w:t xml:space="preserve">. </w:t>
      </w:r>
      <w:r w:rsidR="00FA7DD9">
        <w:rPr>
          <w:rFonts w:ascii="Arial" w:hAnsi="Arial"/>
        </w:rPr>
        <w:t xml:space="preserve">In addition, given the number of authorities under which applications may now be evaluated, staff </w:t>
      </w:r>
      <w:r>
        <w:rPr>
          <w:rFonts w:ascii="Arial" w:hAnsi="Arial"/>
        </w:rPr>
        <w:t>believe</w:t>
      </w:r>
      <w:r w:rsidR="00BE7955">
        <w:rPr>
          <w:rFonts w:ascii="Arial" w:hAnsi="Arial"/>
        </w:rPr>
        <w:t>s</w:t>
      </w:r>
      <w:r w:rsidR="00FA7DD9">
        <w:rPr>
          <w:rFonts w:ascii="Arial" w:hAnsi="Arial"/>
        </w:rPr>
        <w:t xml:space="preserve"> the public would benefit from an informational</w:t>
      </w:r>
      <w:r w:rsidR="004B1F2F">
        <w:rPr>
          <w:rFonts w:ascii="Arial" w:hAnsi="Arial"/>
        </w:rPr>
        <w:t xml:space="preserve"> and educational</w:t>
      </w:r>
      <w:r w:rsidR="00FA7DD9">
        <w:rPr>
          <w:rFonts w:ascii="Arial" w:hAnsi="Arial"/>
        </w:rPr>
        <w:t xml:space="preserve"> document </w:t>
      </w:r>
      <w:r w:rsidR="004B1F2F">
        <w:rPr>
          <w:rFonts w:ascii="Arial" w:hAnsi="Arial"/>
        </w:rPr>
        <w:t xml:space="preserve">presented in the form of the Groundwater Well Application Process Guidelines </w:t>
      </w:r>
      <w:r w:rsidR="00FA7DD9">
        <w:rPr>
          <w:rFonts w:ascii="Arial" w:hAnsi="Arial"/>
        </w:rPr>
        <w:t xml:space="preserve">that explains the County’s </w:t>
      </w:r>
      <w:r w:rsidR="00886E2F">
        <w:rPr>
          <w:rFonts w:ascii="Arial" w:hAnsi="Arial"/>
        </w:rPr>
        <w:t xml:space="preserve">processing of </w:t>
      </w:r>
      <w:r w:rsidR="004B1F2F">
        <w:rPr>
          <w:rFonts w:ascii="Arial" w:hAnsi="Arial"/>
        </w:rPr>
        <w:t xml:space="preserve">well </w:t>
      </w:r>
      <w:r w:rsidR="00FA7DD9">
        <w:rPr>
          <w:rFonts w:ascii="Arial" w:hAnsi="Arial"/>
        </w:rPr>
        <w:t>application</w:t>
      </w:r>
      <w:r w:rsidR="00886E2F">
        <w:rPr>
          <w:rFonts w:ascii="Arial" w:hAnsi="Arial"/>
        </w:rPr>
        <w:t>s</w:t>
      </w:r>
      <w:r w:rsidR="00FA7DD9">
        <w:rPr>
          <w:rFonts w:ascii="Arial" w:hAnsi="Arial"/>
        </w:rPr>
        <w:t xml:space="preserve">. </w:t>
      </w:r>
    </w:p>
    <w:p w14:paraId="75FDE946" w14:textId="77777777" w:rsidR="004B1F2F" w:rsidRDefault="004B1F2F" w:rsidP="00E70D9F">
      <w:pPr>
        <w:rPr>
          <w:rFonts w:ascii="Arial" w:hAnsi="Arial"/>
        </w:rPr>
      </w:pPr>
    </w:p>
    <w:p w14:paraId="28EB1A8B" w14:textId="77777777" w:rsidR="00024714" w:rsidRDefault="00C21B35" w:rsidP="00E70D9F">
      <w:pPr>
        <w:rPr>
          <w:rFonts w:ascii="Arial" w:hAnsi="Arial"/>
        </w:rPr>
      </w:pPr>
      <w:r w:rsidRPr="00995A39">
        <w:rPr>
          <w:rFonts w:ascii="Arial" w:hAnsi="Arial"/>
        </w:rPr>
        <w:t>Today</w:t>
      </w:r>
      <w:r w:rsidR="001C085B">
        <w:rPr>
          <w:rFonts w:ascii="Arial" w:hAnsi="Arial"/>
        </w:rPr>
        <w:t>,</w:t>
      </w:r>
      <w:r w:rsidRPr="00995A39">
        <w:rPr>
          <w:rFonts w:ascii="Arial" w:hAnsi="Arial"/>
        </w:rPr>
        <w:t xml:space="preserve"> </w:t>
      </w:r>
      <w:r w:rsidR="00E237C9" w:rsidRPr="00995A39">
        <w:rPr>
          <w:rFonts w:ascii="Arial" w:hAnsi="Arial"/>
        </w:rPr>
        <w:t xml:space="preserve">staff </w:t>
      </w:r>
      <w:r w:rsidR="00593BF0" w:rsidRPr="00995A39">
        <w:rPr>
          <w:rFonts w:ascii="Arial" w:hAnsi="Arial"/>
        </w:rPr>
        <w:t>seeks</w:t>
      </w:r>
      <w:r w:rsidR="005A621A">
        <w:rPr>
          <w:rFonts w:ascii="Arial" w:hAnsi="Arial"/>
        </w:rPr>
        <w:t xml:space="preserve"> the following.</w:t>
      </w:r>
    </w:p>
    <w:p w14:paraId="5E660090" w14:textId="77777777" w:rsidR="004B1F2F" w:rsidRDefault="004B1F2F" w:rsidP="00E70D9F">
      <w:pPr>
        <w:rPr>
          <w:rFonts w:ascii="Arial" w:hAnsi="Arial"/>
        </w:rPr>
      </w:pPr>
    </w:p>
    <w:p w14:paraId="0A308BC0" w14:textId="77777777" w:rsidR="000C6D4C" w:rsidRPr="00BE7955" w:rsidRDefault="001B09D3" w:rsidP="00BE7955">
      <w:pPr>
        <w:numPr>
          <w:ilvl w:val="0"/>
          <w:numId w:val="11"/>
        </w:numPr>
        <w:rPr>
          <w:rFonts w:ascii="Arial" w:hAnsi="Arial"/>
        </w:rPr>
      </w:pPr>
      <w:r w:rsidRPr="00BE7955">
        <w:rPr>
          <w:rFonts w:ascii="Arial" w:hAnsi="Arial"/>
        </w:rPr>
        <w:t xml:space="preserve">Board </w:t>
      </w:r>
      <w:r w:rsidR="00C60ABB">
        <w:rPr>
          <w:rFonts w:ascii="Arial" w:hAnsi="Arial"/>
        </w:rPr>
        <w:t>approval of</w:t>
      </w:r>
      <w:r w:rsidR="000C6D4C" w:rsidRPr="00BE7955">
        <w:rPr>
          <w:rFonts w:ascii="Arial" w:hAnsi="Arial"/>
        </w:rPr>
        <w:t xml:space="preserve"> a resolution to adopt the </w:t>
      </w:r>
      <w:r w:rsidR="00DA230E">
        <w:rPr>
          <w:rFonts w:ascii="Arial" w:hAnsi="Arial"/>
        </w:rPr>
        <w:t xml:space="preserve">informational </w:t>
      </w:r>
      <w:r w:rsidR="000C6D4C" w:rsidRPr="00BE7955">
        <w:rPr>
          <w:rFonts w:ascii="Arial" w:hAnsi="Arial"/>
        </w:rPr>
        <w:t xml:space="preserve">ground water well </w:t>
      </w:r>
      <w:r w:rsidR="008912DE">
        <w:rPr>
          <w:rFonts w:ascii="Arial" w:hAnsi="Arial"/>
        </w:rPr>
        <w:t xml:space="preserve">application process </w:t>
      </w:r>
      <w:r w:rsidR="000C6D4C" w:rsidRPr="00BE7955">
        <w:rPr>
          <w:rFonts w:ascii="Arial" w:hAnsi="Arial"/>
        </w:rPr>
        <w:t>guidelines.</w:t>
      </w:r>
    </w:p>
    <w:p w14:paraId="036E0CC3" w14:textId="77777777" w:rsidR="001A3C35" w:rsidRPr="00C45C5F" w:rsidRDefault="000C6D4C" w:rsidP="00853DB5">
      <w:pPr>
        <w:numPr>
          <w:ilvl w:val="0"/>
          <w:numId w:val="11"/>
        </w:numPr>
        <w:rPr>
          <w:rFonts w:ascii="Arial" w:hAnsi="Arial"/>
        </w:rPr>
      </w:pPr>
      <w:r w:rsidRPr="00C45C5F">
        <w:rPr>
          <w:rFonts w:ascii="Arial" w:hAnsi="Arial"/>
        </w:rPr>
        <w:t xml:space="preserve">Further to direct staff to </w:t>
      </w:r>
      <w:r w:rsidR="00DA230E" w:rsidRPr="00C45C5F">
        <w:rPr>
          <w:rFonts w:ascii="Arial" w:hAnsi="Arial"/>
        </w:rPr>
        <w:t>work with Dr. Foglia</w:t>
      </w:r>
      <w:r w:rsidR="00C45C5F" w:rsidRPr="00C45C5F">
        <w:rPr>
          <w:rFonts w:ascii="Arial" w:hAnsi="Arial"/>
        </w:rPr>
        <w:t xml:space="preserve"> – Larry walker and associates to develop</w:t>
      </w:r>
      <w:r w:rsidRPr="00C45C5F">
        <w:rPr>
          <w:rFonts w:ascii="Arial" w:hAnsi="Arial"/>
        </w:rPr>
        <w:t xml:space="preserve"> development</w:t>
      </w:r>
      <w:r w:rsidR="00524ED0" w:rsidRPr="00C45C5F">
        <w:rPr>
          <w:rFonts w:ascii="Arial" w:hAnsi="Arial"/>
        </w:rPr>
        <w:t xml:space="preserve"> a </w:t>
      </w:r>
      <w:r w:rsidR="00C45C5F" w:rsidRPr="00C45C5F">
        <w:rPr>
          <w:rFonts w:ascii="Arial" w:hAnsi="Arial"/>
        </w:rPr>
        <w:t>comprehensive c</w:t>
      </w:r>
      <w:r w:rsidR="00524ED0" w:rsidRPr="00C45C5F">
        <w:rPr>
          <w:rFonts w:ascii="Arial" w:hAnsi="Arial"/>
        </w:rPr>
        <w:t>ounty wide well ordinance</w:t>
      </w:r>
      <w:r w:rsidR="00C45C5F" w:rsidRPr="00C45C5F">
        <w:rPr>
          <w:rFonts w:ascii="Arial" w:hAnsi="Arial"/>
        </w:rPr>
        <w:t>.</w:t>
      </w:r>
      <w:r w:rsidR="00524ED0" w:rsidRPr="00C45C5F">
        <w:rPr>
          <w:rFonts w:ascii="Arial" w:hAnsi="Arial"/>
        </w:rPr>
        <w:t xml:space="preserve"> </w:t>
      </w:r>
    </w:p>
    <w:sectPr w:rsidR="001A3C35" w:rsidRPr="00C45C5F" w:rsidSect="00D2263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68518" w14:textId="77777777" w:rsidR="00D2263B" w:rsidRDefault="00D2263B">
      <w:r>
        <w:separator/>
      </w:r>
    </w:p>
  </w:endnote>
  <w:endnote w:type="continuationSeparator" w:id="0">
    <w:p w14:paraId="4771D342" w14:textId="77777777" w:rsidR="00D2263B" w:rsidRDefault="00D2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charset w:val="EE"/>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898C" w14:textId="77777777" w:rsidR="008705DA" w:rsidRDefault="00870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03AD" w14:textId="77777777" w:rsidR="008406F4" w:rsidRDefault="0012447D" w:rsidP="00083CEB">
    <w:pPr>
      <w:pStyle w:val="Footer"/>
      <w:tabs>
        <w:tab w:val="clear" w:pos="4320"/>
        <w:tab w:val="clear" w:pos="8640"/>
        <w:tab w:val="right" w:pos="11088"/>
      </w:tabs>
    </w:pPr>
    <w:r>
      <w:t>S</w:t>
    </w:r>
    <w:r w:rsidR="00CC781D">
      <w:t xml:space="preserve">taff Report </w:t>
    </w:r>
    <w:r w:rsidR="00083CEB">
      <w:t xml:space="preserve">Page </w:t>
    </w:r>
    <w:r w:rsidR="00083CEB">
      <w:fldChar w:fldCharType="begin"/>
    </w:r>
    <w:r w:rsidR="00083CEB">
      <w:instrText xml:space="preserve"> PAGE  \* Arabic  \* MERGEFORMAT </w:instrText>
    </w:r>
    <w:r w:rsidR="00083CEB">
      <w:fldChar w:fldCharType="separate"/>
    </w:r>
    <w:r w:rsidR="00FA7DD9">
      <w:rPr>
        <w:noProof/>
      </w:rPr>
      <w:t>3</w:t>
    </w:r>
    <w:r w:rsidR="00083CEB">
      <w:fldChar w:fldCharType="end"/>
    </w:r>
  </w:p>
  <w:p w14:paraId="3778C7F5" w14:textId="77777777" w:rsidR="00325DAD" w:rsidRDefault="00325DAD" w:rsidP="003B333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D1725"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F6B3193" w14:textId="77777777" w:rsidTr="002B79A8">
      <w:tblPrEx>
        <w:tblCellMar>
          <w:top w:w="0" w:type="dxa"/>
          <w:bottom w:w="0" w:type="dxa"/>
        </w:tblCellMar>
      </w:tblPrEx>
      <w:tc>
        <w:tcPr>
          <w:tcW w:w="3330" w:type="dxa"/>
        </w:tcPr>
        <w:p w14:paraId="51ADC9A5" w14:textId="77777777" w:rsidR="002E5D70" w:rsidRDefault="002E5D70">
          <w:pPr>
            <w:pStyle w:val="Footer"/>
            <w:jc w:val="center"/>
            <w:rPr>
              <w:rFonts w:ascii="CG Omega" w:hAnsi="CG Omega" w:cs="Arial"/>
              <w:b/>
              <w:bCs/>
              <w:color w:val="0000FF"/>
              <w:sz w:val="16"/>
            </w:rPr>
          </w:pPr>
        </w:p>
        <w:p w14:paraId="131DABAA"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744F61BC"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2465665B"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61146AAD" w14:textId="77777777" w:rsidR="002E5D70" w:rsidRDefault="002E5D70">
          <w:pPr>
            <w:pStyle w:val="Footer"/>
            <w:jc w:val="center"/>
            <w:rPr>
              <w:rFonts w:ascii="CG Omega" w:hAnsi="CG Omega" w:cs="Arial"/>
              <w:b/>
              <w:bCs/>
              <w:color w:val="0000FF"/>
              <w:sz w:val="16"/>
            </w:rPr>
          </w:pPr>
        </w:p>
        <w:p w14:paraId="674D62D6"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1ED58C7A"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017AEAE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63927DCD" w14:textId="77777777" w:rsidR="002E5D70" w:rsidRDefault="002E5D70">
          <w:pPr>
            <w:pStyle w:val="Footer"/>
            <w:jc w:val="center"/>
            <w:rPr>
              <w:rFonts w:ascii="CG Omega" w:hAnsi="CG Omega" w:cs="Arial"/>
              <w:b/>
              <w:bCs/>
              <w:color w:val="0000FF"/>
              <w:sz w:val="16"/>
            </w:rPr>
          </w:pPr>
        </w:p>
        <w:p w14:paraId="05F1122B"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0C52C1C2"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Christy Cummings-Dawson</w:t>
          </w:r>
        </w:p>
        <w:p w14:paraId="5DDFE38D"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71297B46" w14:textId="77777777" w:rsidR="00325DAD" w:rsidRPr="00022441" w:rsidRDefault="00325DAD">
          <w:pPr>
            <w:pStyle w:val="Footer"/>
            <w:jc w:val="center"/>
            <w:rPr>
              <w:rFonts w:ascii="CG Omega" w:hAnsi="CG Omega" w:cs="Arial"/>
              <w:bCs/>
              <w:color w:val="0000FF"/>
              <w:sz w:val="14"/>
              <w:szCs w:val="14"/>
            </w:rPr>
          </w:pPr>
        </w:p>
      </w:tc>
    </w:tr>
  </w:tbl>
  <w:p w14:paraId="2E59CC10"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C3C4B" w14:textId="77777777" w:rsidR="00D2263B" w:rsidRDefault="00D2263B">
      <w:r>
        <w:separator/>
      </w:r>
    </w:p>
  </w:footnote>
  <w:footnote w:type="continuationSeparator" w:id="0">
    <w:p w14:paraId="3B54F711" w14:textId="77777777" w:rsidR="00D2263B" w:rsidRDefault="00D2263B">
      <w:r>
        <w:continuationSeparator/>
      </w:r>
    </w:p>
  </w:footnote>
  <w:footnote w:id="1">
    <w:p w14:paraId="5D77D13D" w14:textId="77777777" w:rsidR="00B334F7" w:rsidRDefault="00B334F7">
      <w:pPr>
        <w:pStyle w:val="FootnoteText"/>
      </w:pPr>
      <w:r>
        <w:rPr>
          <w:rStyle w:val="FootnoteReference"/>
        </w:rPr>
        <w:footnoteRef/>
      </w:r>
      <w:r>
        <w:t xml:space="preserve"> </w:t>
      </w:r>
      <w:r w:rsidRPr="00B334F7">
        <w:rPr>
          <w:rFonts w:ascii="Arial" w:hAnsi="Arial"/>
        </w:rPr>
        <w:t>The Department of Water Resources published a FAQ document in 2022 that indicates the well permitting requirements are “a temporary measure” and “will likely remain in effect the rest of this water year and will be rescinded by the Governor, which typically occurs when drought conditions have subsided.”</w:t>
      </w:r>
      <w:r w:rsidRPr="00B334F7">
        <w:t xml:space="preserve"> </w:t>
      </w:r>
      <w:r w:rsidRPr="00B334F7">
        <w:rPr>
          <w:rFonts w:ascii="Arial" w:hAnsi="Arial"/>
        </w:rPr>
        <w:t xml:space="preserve">See DWR Frequently Asked Questions Document available at </w:t>
      </w:r>
      <w:hyperlink r:id="rId1" w:history="1">
        <w:r w:rsidRPr="00DC0F0A">
          <w:rPr>
            <w:rStyle w:val="Hyperlink"/>
            <w:rFonts w:ascii="Arial" w:hAnsi="Arial"/>
          </w:rPr>
          <w:t>https://water.ca.gov/-/media/DWR-Website/Web-Pages/Water-Basics/Drought/Files/Publications-And-Reports/FAQ-Document_Executive-Order-N-7-22-Action-9_ay11.pdf</w:t>
        </w:r>
      </w:hyperlink>
      <w:r>
        <w:rPr>
          <w:rFonts w:ascii="Arial" w:hAnsi="Arial"/>
        </w:rPr>
        <w:t>.</w:t>
      </w:r>
      <w:r>
        <w:t xml:space="preserve"> </w:t>
      </w:r>
    </w:p>
  </w:footnote>
  <w:footnote w:id="2">
    <w:p w14:paraId="58A309A5" w14:textId="77777777" w:rsidR="0098303A" w:rsidRPr="0098303A" w:rsidRDefault="0098303A">
      <w:pPr>
        <w:pStyle w:val="FootnoteText"/>
        <w:rPr>
          <w:rFonts w:ascii="Arial" w:hAnsi="Arial" w:cs="Arial"/>
        </w:rPr>
      </w:pPr>
      <w:r w:rsidRPr="0098303A">
        <w:rPr>
          <w:rStyle w:val="FootnoteReference"/>
          <w:rFonts w:ascii="Arial" w:hAnsi="Arial" w:cs="Arial"/>
        </w:rPr>
        <w:footnoteRef/>
      </w:r>
      <w:r w:rsidR="00032156" w:rsidRPr="00032156">
        <w:rPr>
          <w:rFonts w:ascii="Arial" w:hAnsi="Arial" w:cs="Arial"/>
        </w:rPr>
        <w:t>Regarding increased administrative costs, the Department of Water Resources has indicated there is no state funding available for local permitting agencies or groundwater sustainability agencies to support the Executive Order’s new well permitting requirements</w:t>
      </w:r>
      <w:r w:rsidR="00032156">
        <w:rPr>
          <w:rFonts w:ascii="Arial" w:hAnsi="Arial" w:cs="Arial"/>
        </w:rPr>
        <w:t>.</w:t>
      </w:r>
      <w:r w:rsidRPr="0098303A">
        <w:rPr>
          <w:rFonts w:ascii="Arial" w:hAnsi="Arial" w:cs="Arial"/>
        </w:rPr>
        <w:t xml:space="preserve"> </w:t>
      </w:r>
      <w:r w:rsidR="00B334F7" w:rsidRPr="00B334F7">
        <w:rPr>
          <w:rFonts w:ascii="Arial" w:hAnsi="Arial"/>
        </w:rPr>
        <w:t>Th</w:t>
      </w:r>
      <w:r w:rsidR="00B334F7">
        <w:rPr>
          <w:rFonts w:ascii="Arial" w:hAnsi="Arial"/>
        </w:rPr>
        <w:t xml:space="preserve">e Department of Water </w:t>
      </w:r>
      <w:proofErr w:type="spellStart"/>
      <w:r w:rsidR="00B334F7">
        <w:rPr>
          <w:rFonts w:ascii="Arial" w:hAnsi="Arial"/>
        </w:rPr>
        <w:t>Resources’s</w:t>
      </w:r>
      <w:proofErr w:type="spellEnd"/>
      <w:r w:rsidR="00B334F7">
        <w:rPr>
          <w:rFonts w:ascii="Arial" w:hAnsi="Arial"/>
        </w:rPr>
        <w:t xml:space="preserve"> FAQ document </w:t>
      </w:r>
      <w:r w:rsidRPr="0098303A">
        <w:rPr>
          <w:rFonts w:ascii="Arial" w:hAnsi="Arial" w:cs="Arial"/>
        </w:rPr>
        <w:t xml:space="preserve">advises that “local agencies and GSAs can exercise local fee authority. Local well permitting agencies can exercise fee authority for the well permitting process. SGMA also granted GSAs fee authority to raise revenue to support administrative costs.” See DWR Frequently Asked Questions Document available at </w:t>
      </w:r>
      <w:hyperlink r:id="rId2" w:history="1">
        <w:r w:rsidRPr="0098303A">
          <w:rPr>
            <w:rStyle w:val="Hyperlink"/>
            <w:rFonts w:ascii="Arial" w:hAnsi="Arial" w:cs="Arial"/>
          </w:rPr>
          <w:t>https://water.ca.gov/-/media/DWR-Website/Web-Pages/Water-Basics/Drought/Files/Publications-And-Reports/FAQ-Document_Executive-Order-N-7-22-Action-9_ay11.pdf</w:t>
        </w:r>
      </w:hyperlink>
      <w:r w:rsidRPr="0098303A">
        <w:rPr>
          <w:rFonts w:ascii="Arial" w:hAnsi="Arial" w:cs="Arial"/>
        </w:rPr>
        <w:t xml:space="preserve">. </w:t>
      </w:r>
    </w:p>
  </w:footnote>
  <w:footnote w:id="3">
    <w:p w14:paraId="01B5DBC8" w14:textId="77777777" w:rsidR="001B09D3" w:rsidRDefault="001B09D3">
      <w:pPr>
        <w:pStyle w:val="FootnoteText"/>
      </w:pPr>
      <w:r>
        <w:rPr>
          <w:rStyle w:val="FootnoteReference"/>
        </w:rPr>
        <w:footnoteRef/>
      </w:r>
      <w:r>
        <w:t xml:space="preserve"> On February 10, 2009, the Board of Supervisors approved Resolution 09-20</w:t>
      </w:r>
      <w:r w:rsidR="0023417E">
        <w:t xml:space="preserve"> finding</w:t>
      </w:r>
      <w:r>
        <w:t xml:space="preserve"> it is in the interest of the taxpayers of </w:t>
      </w:r>
      <w:r w:rsidR="0023417E">
        <w:t xml:space="preserve">Siskiyou </w:t>
      </w:r>
      <w:r>
        <w:t>C</w:t>
      </w:r>
      <w:r w:rsidR="0023417E">
        <w:t>ounty that the legal defense fees</w:t>
      </w:r>
      <w:r>
        <w:t xml:space="preserve"> associated with private projects be borne by the project proponent</w:t>
      </w:r>
      <w:r w:rsidR="0023417E">
        <w:t>s</w:t>
      </w:r>
      <w:r>
        <w:t xml:space="preserve"> and </w:t>
      </w:r>
      <w:r w:rsidR="0023417E">
        <w:t xml:space="preserve">not by the taxpayers and </w:t>
      </w:r>
      <w:r>
        <w:t xml:space="preserve">that the Planning Department shall </w:t>
      </w:r>
      <w:r w:rsidR="0023417E">
        <w:t>require</w:t>
      </w:r>
      <w:r>
        <w:t xml:space="preserve"> indemnity agreements for </w:t>
      </w:r>
      <w:r w:rsidR="0023417E">
        <w:t>discretionary land use entitlements and approvals.</w:t>
      </w:r>
      <w:r w:rsidR="00513DCA" w:rsidRPr="00513DCA">
        <w:t xml:space="preserve"> Counties, such as Shasta County, Humboldt County, Monterey County, San Joaquin County, San Bernardino County, and San Diego County, include an indemnity obligation within their Well Application forms. For example, Shasta County’s well permit application states: ““By signing this application I agree to defend, indemnify, and hold the county harmless from any claim, action, or proceeding brought to attack, set aside, void or annul the county’s approval of this application.” Stanislaus County, rather than including the obligation in the permit application, has a separate required indemnity agreement for well applicants.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1EAAA" w14:textId="77777777" w:rsidR="008705DA" w:rsidRDefault="00870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8FB4" w14:textId="77777777" w:rsidR="00CC765A" w:rsidRDefault="00CC7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16FF2261" w14:textId="77777777">
      <w:trPr>
        <w:cantSplit/>
        <w:trHeight w:val="720"/>
      </w:trPr>
      <w:tc>
        <w:tcPr>
          <w:tcW w:w="2160" w:type="dxa"/>
          <w:vMerge w:val="restart"/>
        </w:tcPr>
        <w:p w14:paraId="09F197C6" w14:textId="77777777" w:rsidR="00325DAD" w:rsidRDefault="002E5D70">
          <w:pPr>
            <w:pStyle w:val="Header"/>
            <w:rPr>
              <w:color w:val="0000FF"/>
            </w:rPr>
          </w:pPr>
          <w:r w:rsidRPr="00022441">
            <w:rPr>
              <w:rFonts w:ascii="CG Omega" w:hAnsi="CG Omega" w:cs="Arial"/>
              <w:b/>
              <w:caps/>
              <w:noProof/>
              <w:color w:val="0000FF"/>
              <w:sz w:val="18"/>
              <w:szCs w:val="22"/>
            </w:rPr>
            <w:pict w14:anchorId="73CCC382">
              <v:line id="_x0000_s1027" style="position:absolute;flip:y;z-index:251657216" from="102.6pt,40.2pt" to="540.2pt,40.2pt" strokecolor="blue" strokeweight="2.25pt"/>
            </w:pict>
          </w:r>
        </w:p>
      </w:tc>
      <w:tc>
        <w:tcPr>
          <w:tcW w:w="8856" w:type="dxa"/>
          <w:gridSpan w:val="2"/>
          <w:vAlign w:val="bottom"/>
        </w:tcPr>
        <w:p w14:paraId="1458353D"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5C3A6F1E" w14:textId="77777777">
      <w:trPr>
        <w:cantSplit/>
        <w:trHeight w:val="1170"/>
      </w:trPr>
      <w:tc>
        <w:tcPr>
          <w:tcW w:w="2160" w:type="dxa"/>
          <w:vMerge/>
        </w:tcPr>
        <w:p w14:paraId="54D6A613" w14:textId="77777777" w:rsidR="00325DAD" w:rsidRDefault="00325DAD">
          <w:pPr>
            <w:pStyle w:val="Header"/>
          </w:pPr>
        </w:p>
      </w:tc>
      <w:tc>
        <w:tcPr>
          <w:tcW w:w="6300" w:type="dxa"/>
          <w:vAlign w:val="center"/>
        </w:tcPr>
        <w:p w14:paraId="49AE01A4" w14:textId="77777777" w:rsidR="00A24AD9" w:rsidRDefault="00A24AD9">
          <w:pPr>
            <w:pStyle w:val="Header"/>
            <w:jc w:val="center"/>
            <w:rPr>
              <w:rFonts w:ascii="CG Omega" w:hAnsi="CG Omega" w:cs="Arial"/>
              <w:b/>
              <w:caps/>
              <w:color w:val="0000FF"/>
              <w:sz w:val="18"/>
              <w:szCs w:val="22"/>
            </w:rPr>
          </w:pPr>
        </w:p>
        <w:p w14:paraId="3381C92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150E5EBF"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635571BE"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 xml:space="preserve">806 South Main Street∙ Yreka, </w:t>
          </w:r>
          <w:smartTag w:uri="urn:schemas-microsoft-com:office:smarttags" w:element="State">
            <w:smartTag w:uri="urn:schemas-microsoft-com:office:smarttags" w:element="place">
              <w:r w:rsidRPr="00022441">
                <w:rPr>
                  <w:rFonts w:ascii="CG Omega" w:hAnsi="CG Omega" w:cs="Arial"/>
                  <w:color w:val="0000FF"/>
                  <w:sz w:val="18"/>
                  <w:szCs w:val="18"/>
                </w:rPr>
                <w:t>California</w:t>
              </w:r>
            </w:smartTag>
          </w:smartTag>
          <w:r w:rsidRPr="00022441">
            <w:rPr>
              <w:rFonts w:ascii="CG Omega" w:hAnsi="CG Omega" w:cs="Arial"/>
              <w:color w:val="0000FF"/>
              <w:sz w:val="18"/>
              <w:szCs w:val="18"/>
            </w:rPr>
            <w:t xml:space="preserve"> 96097</w:t>
          </w:r>
        </w:p>
        <w:p w14:paraId="5FF9743E"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7FED4FC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E1A7CA7" w14:textId="77777777" w:rsidR="00A24AD9" w:rsidRPr="00A6613C" w:rsidRDefault="00DC49F9">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92CFA24"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7D85315C"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9C3810B"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8C5AFEF" w14:textId="77777777" w:rsidR="00325DAD" w:rsidRDefault="002E5D70">
    <w:pPr>
      <w:pStyle w:val="Header"/>
    </w:pPr>
    <w:r>
      <w:rPr>
        <w:noProof/>
      </w:rPr>
      <w:pict w14:anchorId="11755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55pt;margin-top:-120.55pt;width:96.9pt;height:90.9pt;z-index:251658240;mso-position-horizontal-relative:margin;mso-position-vertical-relative:margin">
          <v:imagedata r:id="rId1" o:title="Sis"/>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0DD"/>
    <w:multiLevelType w:val="hybridMultilevel"/>
    <w:tmpl w:val="361412CA"/>
    <w:lvl w:ilvl="0" w:tplc="69BAA4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66194"/>
    <w:multiLevelType w:val="hybridMultilevel"/>
    <w:tmpl w:val="867A76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1E0016"/>
    <w:multiLevelType w:val="hybridMultilevel"/>
    <w:tmpl w:val="9CCE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2728DD"/>
    <w:multiLevelType w:val="hybridMultilevel"/>
    <w:tmpl w:val="E654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F618B9"/>
    <w:multiLevelType w:val="hybridMultilevel"/>
    <w:tmpl w:val="E9783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73486331">
    <w:abstractNumId w:val="6"/>
  </w:num>
  <w:num w:numId="2" w16cid:durableId="1841196387">
    <w:abstractNumId w:val="3"/>
  </w:num>
  <w:num w:numId="3" w16cid:durableId="1053819972">
    <w:abstractNumId w:val="4"/>
  </w:num>
  <w:num w:numId="4" w16cid:durableId="1106003485">
    <w:abstractNumId w:val="7"/>
  </w:num>
  <w:num w:numId="5" w16cid:durableId="220868146">
    <w:abstractNumId w:val="11"/>
  </w:num>
  <w:num w:numId="6" w16cid:durableId="2046056250">
    <w:abstractNumId w:val="5"/>
  </w:num>
  <w:num w:numId="7" w16cid:durableId="335226838">
    <w:abstractNumId w:val="10"/>
  </w:num>
  <w:num w:numId="8" w16cid:durableId="1888371173">
    <w:abstractNumId w:val="0"/>
  </w:num>
  <w:num w:numId="9" w16cid:durableId="735710990">
    <w:abstractNumId w:val="9"/>
  </w:num>
  <w:num w:numId="10" w16cid:durableId="922570973">
    <w:abstractNumId w:val="1"/>
  </w:num>
  <w:num w:numId="11" w16cid:durableId="2008096450">
    <w:abstractNumId w:val="2"/>
  </w:num>
  <w:num w:numId="12" w16cid:durableId="803037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4032"/>
    <w:rsid w:val="00000C1C"/>
    <w:rsid w:val="0000499A"/>
    <w:rsid w:val="000115B2"/>
    <w:rsid w:val="000128C6"/>
    <w:rsid w:val="00017F4E"/>
    <w:rsid w:val="00022441"/>
    <w:rsid w:val="00024714"/>
    <w:rsid w:val="000251EA"/>
    <w:rsid w:val="00032156"/>
    <w:rsid w:val="00032BEB"/>
    <w:rsid w:val="00035E84"/>
    <w:rsid w:val="00044B92"/>
    <w:rsid w:val="0007573F"/>
    <w:rsid w:val="000775DA"/>
    <w:rsid w:val="00083CEB"/>
    <w:rsid w:val="00085FA3"/>
    <w:rsid w:val="00095F97"/>
    <w:rsid w:val="000A6252"/>
    <w:rsid w:val="000A6A5E"/>
    <w:rsid w:val="000C3DDB"/>
    <w:rsid w:val="000C5D00"/>
    <w:rsid w:val="000C6D4C"/>
    <w:rsid w:val="000C7E47"/>
    <w:rsid w:val="000D2526"/>
    <w:rsid w:val="000D5FB2"/>
    <w:rsid w:val="000E6CB3"/>
    <w:rsid w:val="001206D3"/>
    <w:rsid w:val="0012447D"/>
    <w:rsid w:val="00124596"/>
    <w:rsid w:val="00130EDF"/>
    <w:rsid w:val="00144322"/>
    <w:rsid w:val="0014513F"/>
    <w:rsid w:val="0017292F"/>
    <w:rsid w:val="001816A6"/>
    <w:rsid w:val="00182E63"/>
    <w:rsid w:val="001964C1"/>
    <w:rsid w:val="001A2CA2"/>
    <w:rsid w:val="001A3C35"/>
    <w:rsid w:val="001B09D3"/>
    <w:rsid w:val="001B30FC"/>
    <w:rsid w:val="001C085B"/>
    <w:rsid w:val="001C48C0"/>
    <w:rsid w:val="001C6571"/>
    <w:rsid w:val="001D2DC5"/>
    <w:rsid w:val="001E0243"/>
    <w:rsid w:val="001E1787"/>
    <w:rsid w:val="001F1F5A"/>
    <w:rsid w:val="001F76F3"/>
    <w:rsid w:val="00201396"/>
    <w:rsid w:val="002176AD"/>
    <w:rsid w:val="00220D48"/>
    <w:rsid w:val="00222E41"/>
    <w:rsid w:val="00225EB9"/>
    <w:rsid w:val="00230F31"/>
    <w:rsid w:val="0023417E"/>
    <w:rsid w:val="00236673"/>
    <w:rsid w:val="002418B8"/>
    <w:rsid w:val="0024400C"/>
    <w:rsid w:val="002532EB"/>
    <w:rsid w:val="002542D4"/>
    <w:rsid w:val="00255685"/>
    <w:rsid w:val="00266BCD"/>
    <w:rsid w:val="002756BD"/>
    <w:rsid w:val="00281F02"/>
    <w:rsid w:val="00281F83"/>
    <w:rsid w:val="002A1B5A"/>
    <w:rsid w:val="002B1B88"/>
    <w:rsid w:val="002B56CB"/>
    <w:rsid w:val="002B5801"/>
    <w:rsid w:val="002B79A8"/>
    <w:rsid w:val="002B7C6D"/>
    <w:rsid w:val="002C32EB"/>
    <w:rsid w:val="002C5C17"/>
    <w:rsid w:val="002C6138"/>
    <w:rsid w:val="002D2F18"/>
    <w:rsid w:val="002D629E"/>
    <w:rsid w:val="002D7089"/>
    <w:rsid w:val="002D722D"/>
    <w:rsid w:val="002E3221"/>
    <w:rsid w:val="002E5D70"/>
    <w:rsid w:val="002F5869"/>
    <w:rsid w:val="00303249"/>
    <w:rsid w:val="00325DAD"/>
    <w:rsid w:val="00326C8B"/>
    <w:rsid w:val="00327714"/>
    <w:rsid w:val="00343CBA"/>
    <w:rsid w:val="00350044"/>
    <w:rsid w:val="003524AD"/>
    <w:rsid w:val="0035342C"/>
    <w:rsid w:val="00355A02"/>
    <w:rsid w:val="00360D79"/>
    <w:rsid w:val="003655F9"/>
    <w:rsid w:val="00365FF2"/>
    <w:rsid w:val="003666FF"/>
    <w:rsid w:val="0037153F"/>
    <w:rsid w:val="0037663B"/>
    <w:rsid w:val="00381611"/>
    <w:rsid w:val="003838A1"/>
    <w:rsid w:val="00391AE5"/>
    <w:rsid w:val="00391E99"/>
    <w:rsid w:val="00394505"/>
    <w:rsid w:val="00394C00"/>
    <w:rsid w:val="00396754"/>
    <w:rsid w:val="003A0E4A"/>
    <w:rsid w:val="003A3F83"/>
    <w:rsid w:val="003B333B"/>
    <w:rsid w:val="003B4CF2"/>
    <w:rsid w:val="003B73E5"/>
    <w:rsid w:val="003C3030"/>
    <w:rsid w:val="003C362B"/>
    <w:rsid w:val="003C5209"/>
    <w:rsid w:val="003C61CB"/>
    <w:rsid w:val="003D1911"/>
    <w:rsid w:val="003D4351"/>
    <w:rsid w:val="003E536B"/>
    <w:rsid w:val="003F6517"/>
    <w:rsid w:val="00401A90"/>
    <w:rsid w:val="004235C5"/>
    <w:rsid w:val="00423EFA"/>
    <w:rsid w:val="00425F31"/>
    <w:rsid w:val="0043256B"/>
    <w:rsid w:val="0043604A"/>
    <w:rsid w:val="004473FC"/>
    <w:rsid w:val="004510CF"/>
    <w:rsid w:val="004536D9"/>
    <w:rsid w:val="00456754"/>
    <w:rsid w:val="00460FCC"/>
    <w:rsid w:val="00463C7B"/>
    <w:rsid w:val="00464A1F"/>
    <w:rsid w:val="00471638"/>
    <w:rsid w:val="00476A51"/>
    <w:rsid w:val="004832D4"/>
    <w:rsid w:val="0049151D"/>
    <w:rsid w:val="00492198"/>
    <w:rsid w:val="004A0E5B"/>
    <w:rsid w:val="004A1513"/>
    <w:rsid w:val="004A190F"/>
    <w:rsid w:val="004B1F2F"/>
    <w:rsid w:val="004B20AC"/>
    <w:rsid w:val="004B2CFD"/>
    <w:rsid w:val="004B61BD"/>
    <w:rsid w:val="004F5E6A"/>
    <w:rsid w:val="00501F16"/>
    <w:rsid w:val="00511F63"/>
    <w:rsid w:val="00513DCA"/>
    <w:rsid w:val="005206D2"/>
    <w:rsid w:val="0052253C"/>
    <w:rsid w:val="00524ED0"/>
    <w:rsid w:val="0053142B"/>
    <w:rsid w:val="00532934"/>
    <w:rsid w:val="00550B1D"/>
    <w:rsid w:val="0055200A"/>
    <w:rsid w:val="0056162F"/>
    <w:rsid w:val="005658EE"/>
    <w:rsid w:val="005707B5"/>
    <w:rsid w:val="00572805"/>
    <w:rsid w:val="00573062"/>
    <w:rsid w:val="00575E3E"/>
    <w:rsid w:val="005830C6"/>
    <w:rsid w:val="005853B8"/>
    <w:rsid w:val="00593BF0"/>
    <w:rsid w:val="005A0E65"/>
    <w:rsid w:val="005A29BC"/>
    <w:rsid w:val="005A4024"/>
    <w:rsid w:val="005A621A"/>
    <w:rsid w:val="005B5A69"/>
    <w:rsid w:val="005B5E76"/>
    <w:rsid w:val="005B653A"/>
    <w:rsid w:val="005C341D"/>
    <w:rsid w:val="005C3AC8"/>
    <w:rsid w:val="005C5EFC"/>
    <w:rsid w:val="005D1419"/>
    <w:rsid w:val="005D3D74"/>
    <w:rsid w:val="005E7CA9"/>
    <w:rsid w:val="005F3B78"/>
    <w:rsid w:val="00603C52"/>
    <w:rsid w:val="00627019"/>
    <w:rsid w:val="006271FC"/>
    <w:rsid w:val="00636263"/>
    <w:rsid w:val="00642DC5"/>
    <w:rsid w:val="00652D7A"/>
    <w:rsid w:val="006554B7"/>
    <w:rsid w:val="0066249E"/>
    <w:rsid w:val="0066767B"/>
    <w:rsid w:val="00674A8C"/>
    <w:rsid w:val="0067626D"/>
    <w:rsid w:val="00676A5C"/>
    <w:rsid w:val="006870E2"/>
    <w:rsid w:val="00697602"/>
    <w:rsid w:val="006A1BCE"/>
    <w:rsid w:val="006B2B32"/>
    <w:rsid w:val="006C394B"/>
    <w:rsid w:val="006C5B39"/>
    <w:rsid w:val="006C6F1E"/>
    <w:rsid w:val="006C7A97"/>
    <w:rsid w:val="006D45AA"/>
    <w:rsid w:val="006E19C5"/>
    <w:rsid w:val="006E435C"/>
    <w:rsid w:val="007235ED"/>
    <w:rsid w:val="00734534"/>
    <w:rsid w:val="00734830"/>
    <w:rsid w:val="00745BEC"/>
    <w:rsid w:val="0075325A"/>
    <w:rsid w:val="00756473"/>
    <w:rsid w:val="00774245"/>
    <w:rsid w:val="00776F36"/>
    <w:rsid w:val="007876AF"/>
    <w:rsid w:val="007906DE"/>
    <w:rsid w:val="0079163E"/>
    <w:rsid w:val="00792A6D"/>
    <w:rsid w:val="007A21DE"/>
    <w:rsid w:val="007B23DE"/>
    <w:rsid w:val="007B5796"/>
    <w:rsid w:val="007C0756"/>
    <w:rsid w:val="007C10FE"/>
    <w:rsid w:val="007C6956"/>
    <w:rsid w:val="007D1447"/>
    <w:rsid w:val="007E7318"/>
    <w:rsid w:val="007F1F94"/>
    <w:rsid w:val="007F5EE4"/>
    <w:rsid w:val="007F7129"/>
    <w:rsid w:val="00802F8D"/>
    <w:rsid w:val="008058E9"/>
    <w:rsid w:val="008126B9"/>
    <w:rsid w:val="008145C3"/>
    <w:rsid w:val="00820434"/>
    <w:rsid w:val="008406F4"/>
    <w:rsid w:val="00841114"/>
    <w:rsid w:val="00841719"/>
    <w:rsid w:val="00853DB5"/>
    <w:rsid w:val="008705DA"/>
    <w:rsid w:val="00880BC3"/>
    <w:rsid w:val="00886E2F"/>
    <w:rsid w:val="00890884"/>
    <w:rsid w:val="008912DE"/>
    <w:rsid w:val="008973BD"/>
    <w:rsid w:val="008A2544"/>
    <w:rsid w:val="008B0D82"/>
    <w:rsid w:val="008B54FF"/>
    <w:rsid w:val="008D076B"/>
    <w:rsid w:val="008E28DD"/>
    <w:rsid w:val="008E4D01"/>
    <w:rsid w:val="008F5DBA"/>
    <w:rsid w:val="00902942"/>
    <w:rsid w:val="0090615E"/>
    <w:rsid w:val="009323A8"/>
    <w:rsid w:val="00941669"/>
    <w:rsid w:val="00942830"/>
    <w:rsid w:val="009542E7"/>
    <w:rsid w:val="00960429"/>
    <w:rsid w:val="00961534"/>
    <w:rsid w:val="00962D3A"/>
    <w:rsid w:val="00976B39"/>
    <w:rsid w:val="00982B09"/>
    <w:rsid w:val="00982EED"/>
    <w:rsid w:val="0098303A"/>
    <w:rsid w:val="0099101B"/>
    <w:rsid w:val="00995A39"/>
    <w:rsid w:val="009A06E5"/>
    <w:rsid w:val="009B4B9F"/>
    <w:rsid w:val="009D3375"/>
    <w:rsid w:val="009E6C5B"/>
    <w:rsid w:val="009E77CF"/>
    <w:rsid w:val="009F0E48"/>
    <w:rsid w:val="009F1B25"/>
    <w:rsid w:val="009F595C"/>
    <w:rsid w:val="00A16886"/>
    <w:rsid w:val="00A20984"/>
    <w:rsid w:val="00A24AD9"/>
    <w:rsid w:val="00A26570"/>
    <w:rsid w:val="00A31D9B"/>
    <w:rsid w:val="00A37C27"/>
    <w:rsid w:val="00A4037B"/>
    <w:rsid w:val="00A429AF"/>
    <w:rsid w:val="00A44EE4"/>
    <w:rsid w:val="00A4699F"/>
    <w:rsid w:val="00A47749"/>
    <w:rsid w:val="00A519B8"/>
    <w:rsid w:val="00A54A02"/>
    <w:rsid w:val="00A5612D"/>
    <w:rsid w:val="00A61F7F"/>
    <w:rsid w:val="00A6613C"/>
    <w:rsid w:val="00A7350D"/>
    <w:rsid w:val="00A768D1"/>
    <w:rsid w:val="00A85FC6"/>
    <w:rsid w:val="00A96448"/>
    <w:rsid w:val="00AB08D6"/>
    <w:rsid w:val="00AB3621"/>
    <w:rsid w:val="00AB71BE"/>
    <w:rsid w:val="00AD60D8"/>
    <w:rsid w:val="00AE104E"/>
    <w:rsid w:val="00AE2C86"/>
    <w:rsid w:val="00AF548C"/>
    <w:rsid w:val="00B30777"/>
    <w:rsid w:val="00B3310B"/>
    <w:rsid w:val="00B334F7"/>
    <w:rsid w:val="00B34E3F"/>
    <w:rsid w:val="00B55FED"/>
    <w:rsid w:val="00B57435"/>
    <w:rsid w:val="00B61ED1"/>
    <w:rsid w:val="00B65E41"/>
    <w:rsid w:val="00B80F84"/>
    <w:rsid w:val="00B968A8"/>
    <w:rsid w:val="00BA4032"/>
    <w:rsid w:val="00BA6FB2"/>
    <w:rsid w:val="00BA6FF9"/>
    <w:rsid w:val="00BB010E"/>
    <w:rsid w:val="00BB2C51"/>
    <w:rsid w:val="00BB4531"/>
    <w:rsid w:val="00BC3560"/>
    <w:rsid w:val="00BC68EB"/>
    <w:rsid w:val="00BD67A8"/>
    <w:rsid w:val="00BE7955"/>
    <w:rsid w:val="00BF1975"/>
    <w:rsid w:val="00BF37D7"/>
    <w:rsid w:val="00BF6EB4"/>
    <w:rsid w:val="00C02714"/>
    <w:rsid w:val="00C10D34"/>
    <w:rsid w:val="00C11571"/>
    <w:rsid w:val="00C17320"/>
    <w:rsid w:val="00C210FC"/>
    <w:rsid w:val="00C2196B"/>
    <w:rsid w:val="00C21B35"/>
    <w:rsid w:val="00C31F7D"/>
    <w:rsid w:val="00C3305A"/>
    <w:rsid w:val="00C379A2"/>
    <w:rsid w:val="00C42CFF"/>
    <w:rsid w:val="00C4410D"/>
    <w:rsid w:val="00C45C5F"/>
    <w:rsid w:val="00C57D50"/>
    <w:rsid w:val="00C60ABB"/>
    <w:rsid w:val="00C63A6F"/>
    <w:rsid w:val="00C731C8"/>
    <w:rsid w:val="00C83620"/>
    <w:rsid w:val="00C87E98"/>
    <w:rsid w:val="00CB2B7E"/>
    <w:rsid w:val="00CC3F79"/>
    <w:rsid w:val="00CC6E3A"/>
    <w:rsid w:val="00CC765A"/>
    <w:rsid w:val="00CC781D"/>
    <w:rsid w:val="00CD4D44"/>
    <w:rsid w:val="00CE2FBB"/>
    <w:rsid w:val="00CE6242"/>
    <w:rsid w:val="00CF6E2A"/>
    <w:rsid w:val="00D1203C"/>
    <w:rsid w:val="00D2263B"/>
    <w:rsid w:val="00D47A96"/>
    <w:rsid w:val="00D53670"/>
    <w:rsid w:val="00D55A80"/>
    <w:rsid w:val="00D6047F"/>
    <w:rsid w:val="00D66376"/>
    <w:rsid w:val="00D66D8D"/>
    <w:rsid w:val="00D83622"/>
    <w:rsid w:val="00DA230E"/>
    <w:rsid w:val="00DB0195"/>
    <w:rsid w:val="00DB1453"/>
    <w:rsid w:val="00DB55EC"/>
    <w:rsid w:val="00DC49F9"/>
    <w:rsid w:val="00DC635A"/>
    <w:rsid w:val="00DE3558"/>
    <w:rsid w:val="00DE56F8"/>
    <w:rsid w:val="00DE79A1"/>
    <w:rsid w:val="00E05E37"/>
    <w:rsid w:val="00E10AF4"/>
    <w:rsid w:val="00E1320F"/>
    <w:rsid w:val="00E1453B"/>
    <w:rsid w:val="00E16826"/>
    <w:rsid w:val="00E237C9"/>
    <w:rsid w:val="00E24BEC"/>
    <w:rsid w:val="00E25075"/>
    <w:rsid w:val="00E26B12"/>
    <w:rsid w:val="00E317AC"/>
    <w:rsid w:val="00E347FD"/>
    <w:rsid w:val="00E43E45"/>
    <w:rsid w:val="00E441A9"/>
    <w:rsid w:val="00E454EE"/>
    <w:rsid w:val="00E4574A"/>
    <w:rsid w:val="00E6373E"/>
    <w:rsid w:val="00E64508"/>
    <w:rsid w:val="00E70D9F"/>
    <w:rsid w:val="00E74987"/>
    <w:rsid w:val="00E80353"/>
    <w:rsid w:val="00E8211D"/>
    <w:rsid w:val="00E82F2A"/>
    <w:rsid w:val="00E86EC2"/>
    <w:rsid w:val="00EA0E32"/>
    <w:rsid w:val="00EB0007"/>
    <w:rsid w:val="00EC22ED"/>
    <w:rsid w:val="00EC553B"/>
    <w:rsid w:val="00ED1189"/>
    <w:rsid w:val="00ED7EF5"/>
    <w:rsid w:val="00EE3C32"/>
    <w:rsid w:val="00F03444"/>
    <w:rsid w:val="00F138D1"/>
    <w:rsid w:val="00F14677"/>
    <w:rsid w:val="00F2009D"/>
    <w:rsid w:val="00F42345"/>
    <w:rsid w:val="00F465C2"/>
    <w:rsid w:val="00F51750"/>
    <w:rsid w:val="00F53722"/>
    <w:rsid w:val="00F551D4"/>
    <w:rsid w:val="00F63B2B"/>
    <w:rsid w:val="00F6593A"/>
    <w:rsid w:val="00F66416"/>
    <w:rsid w:val="00F67907"/>
    <w:rsid w:val="00F72391"/>
    <w:rsid w:val="00F807FD"/>
    <w:rsid w:val="00F86687"/>
    <w:rsid w:val="00F922D6"/>
    <w:rsid w:val="00FA7A54"/>
    <w:rsid w:val="00FA7DD9"/>
    <w:rsid w:val="00FC2CD1"/>
    <w:rsid w:val="00FC5447"/>
    <w:rsid w:val="00FD6585"/>
    <w:rsid w:val="00F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2"/>
    </o:shapelayout>
  </w:shapeDefaults>
  <w:decimalSymbol w:val="."/>
  <w:listSeparator w:val=","/>
  <w14:docId w14:val="00DB56A0"/>
  <w15:chartTrackingRefBased/>
  <w15:docId w15:val="{A0598FFA-A43B-413E-BA7E-BE4D148E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74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sz w:val="20"/>
      <w:szCs w:val="20"/>
    </w:rPr>
  </w:style>
  <w:style w:type="paragraph" w:styleId="Footer">
    <w:name w:val="footer"/>
    <w:basedOn w:val="Normal"/>
    <w:link w:val="FooterChar"/>
    <w:uiPriority w:val="99"/>
    <w:pPr>
      <w:tabs>
        <w:tab w:val="center" w:pos="4320"/>
        <w:tab w:val="right" w:pos="8640"/>
      </w:tabs>
    </w:pPr>
    <w:rPr>
      <w:rFonts w:ascii="Arial" w:hAnsi="Arial"/>
      <w:sz w:val="20"/>
      <w:szCs w:val="20"/>
    </w:rPr>
  </w:style>
  <w:style w:type="paragraph" w:styleId="BodyText">
    <w:name w:val="Body Text"/>
    <w:basedOn w:val="Normal"/>
    <w:pPr>
      <w:spacing w:after="220" w:line="180" w:lineRule="atLeast"/>
      <w:ind w:left="835"/>
      <w:jc w:val="both"/>
    </w:pPr>
    <w:rPr>
      <w:rFonts w:ascii="Arial" w:hAnsi="Arial"/>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qFormat/>
    <w:rPr>
      <w:rFonts w:ascii="Arial Black" w:hAnsi="Arial Black"/>
      <w:sz w:val="18"/>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BF37D7"/>
    <w:pPr>
      <w:ind w:left="720"/>
    </w:pPr>
    <w:rPr>
      <w:rFonts w:ascii="Arial" w:hAnsi="Arial"/>
      <w:sz w:val="20"/>
      <w:szCs w:val="20"/>
    </w:rPr>
  </w:style>
  <w:style w:type="character" w:customStyle="1" w:styleId="FooterChar">
    <w:name w:val="Footer Char"/>
    <w:link w:val="Footer"/>
    <w:uiPriority w:val="99"/>
    <w:rsid w:val="008406F4"/>
    <w:rPr>
      <w:rFonts w:ascii="Arial" w:hAnsi="Arial"/>
    </w:rPr>
  </w:style>
  <w:style w:type="paragraph" w:styleId="FootnoteText">
    <w:name w:val="footnote text"/>
    <w:basedOn w:val="Normal"/>
    <w:link w:val="FootnoteTextChar"/>
    <w:rsid w:val="00BC3560"/>
    <w:rPr>
      <w:sz w:val="20"/>
      <w:szCs w:val="20"/>
    </w:rPr>
  </w:style>
  <w:style w:type="character" w:customStyle="1" w:styleId="FootnoteTextChar">
    <w:name w:val="Footnote Text Char"/>
    <w:basedOn w:val="DefaultParagraphFont"/>
    <w:link w:val="FootnoteText"/>
    <w:rsid w:val="00BC3560"/>
  </w:style>
  <w:style w:type="character" w:styleId="FootnoteReference">
    <w:name w:val="footnote reference"/>
    <w:rsid w:val="00BC3560"/>
    <w:rPr>
      <w:vertAlign w:val="superscript"/>
    </w:rPr>
  </w:style>
  <w:style w:type="paragraph" w:styleId="Revision">
    <w:name w:val="Revision"/>
    <w:hidden/>
    <w:uiPriority w:val="99"/>
    <w:semiHidden/>
    <w:rsid w:val="00976B39"/>
    <w:rPr>
      <w:sz w:val="24"/>
      <w:szCs w:val="24"/>
    </w:rPr>
  </w:style>
  <w:style w:type="character" w:styleId="CommentReference">
    <w:name w:val="annotation reference"/>
    <w:rsid w:val="00886E2F"/>
    <w:rPr>
      <w:sz w:val="16"/>
      <w:szCs w:val="16"/>
    </w:rPr>
  </w:style>
  <w:style w:type="paragraph" w:styleId="CommentText">
    <w:name w:val="annotation text"/>
    <w:basedOn w:val="Normal"/>
    <w:link w:val="CommentTextChar"/>
    <w:rsid w:val="00886E2F"/>
    <w:rPr>
      <w:sz w:val="20"/>
      <w:szCs w:val="20"/>
    </w:rPr>
  </w:style>
  <w:style w:type="character" w:customStyle="1" w:styleId="CommentTextChar">
    <w:name w:val="Comment Text Char"/>
    <w:basedOn w:val="DefaultParagraphFont"/>
    <w:link w:val="CommentText"/>
    <w:rsid w:val="00886E2F"/>
  </w:style>
  <w:style w:type="paragraph" w:styleId="CommentSubject">
    <w:name w:val="annotation subject"/>
    <w:basedOn w:val="CommentText"/>
    <w:next w:val="CommentText"/>
    <w:link w:val="CommentSubjectChar"/>
    <w:rsid w:val="00886E2F"/>
    <w:rPr>
      <w:b/>
      <w:bCs/>
    </w:rPr>
  </w:style>
  <w:style w:type="character" w:customStyle="1" w:styleId="CommentSubjectChar">
    <w:name w:val="Comment Subject Char"/>
    <w:link w:val="CommentSubject"/>
    <w:rsid w:val="00886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ater.ca.gov/-/media/DWR-Website/Web-Pages/Water-Basics/Drought/Files/Publications-And-Reports/FAQ-Document_Executive-Order-N-7-22-Action-9_ay11.pdf" TargetMode="External"/><Relationship Id="rId1" Type="http://schemas.openxmlformats.org/officeDocument/2006/relationships/hyperlink" Target="https://water.ca.gov/-/media/DWR-Website/Web-Pages/Water-Basics/Drought/Files/Publications-And-Reports/FAQ-Document_Executive-Order-N-7-22-Action-9_ay1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508B4-C8D1-4228-9012-2948490B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Fax</vt:lpstr>
    </vt:vector>
  </TitlesOfParts>
  <Company>Siskiyou County Planning Department</Company>
  <LinksUpToDate>false</LinksUpToDate>
  <CharactersWithSpaces>8770</CharactersWithSpaces>
  <SharedDoc>false</SharedDoc>
  <HLinks>
    <vt:vector size="12" baseType="variant">
      <vt:variant>
        <vt:i4>851987</vt:i4>
      </vt:variant>
      <vt:variant>
        <vt:i4>3</vt:i4>
      </vt:variant>
      <vt:variant>
        <vt:i4>0</vt:i4>
      </vt:variant>
      <vt:variant>
        <vt:i4>5</vt:i4>
      </vt:variant>
      <vt:variant>
        <vt:lpwstr>https://water.ca.gov/-/media/DWR-Website/Web-Pages/Water-Basics/Drought/Files/Publications-And-Reports/FAQ-Document_Executive-Order-N-7-22-Action-9_ay11.pdf</vt:lpwstr>
      </vt:variant>
      <vt:variant>
        <vt:lpwstr/>
      </vt:variant>
      <vt:variant>
        <vt:i4>851987</vt:i4>
      </vt:variant>
      <vt:variant>
        <vt:i4>0</vt:i4>
      </vt:variant>
      <vt:variant>
        <vt:i4>0</vt:i4>
      </vt:variant>
      <vt:variant>
        <vt:i4>5</vt:i4>
      </vt:variant>
      <vt:variant>
        <vt:lpwstr>https://water.ca.gov/-/media/DWR-Website/Web-Pages/Water-Basics/Drought/Files/Publications-And-Reports/FAQ-Document_Executive-Order-N-7-22-Action-9_ay11.pdf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srroper</dc:creator>
  <cp:keywords/>
  <cp:lastModifiedBy>James V. Phelps</cp:lastModifiedBy>
  <cp:revision>2</cp:revision>
  <cp:lastPrinted>2018-01-16T21:45:00Z</cp:lastPrinted>
  <dcterms:created xsi:type="dcterms:W3CDTF">2024-05-07T15:29:00Z</dcterms:created>
  <dcterms:modified xsi:type="dcterms:W3CDTF">2024-05-07T15:29:00Z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